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3332"/>
        <w:gridCol w:w="56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703" w:hRule="atLeast"/>
        </w:trPr>
        <w:tc>
          <w:tcPr>
            <w:tcW w:w="3332" w:type="dxa"/>
            <w:tcBorders>
              <w:top w:val="nil"/>
              <w:left w:val="nil"/>
              <w:bottom w:val="nil"/>
              <w:right w:val="nil"/>
            </w:tcBorders>
            <w:shd w:val="clear" w:color="auto" w:fill="auto"/>
            <w:noWrap w:val="0"/>
            <w:tcMar>
              <w:top w:w="0" w:type="dxa"/>
              <w:left w:w="108" w:type="dxa"/>
              <w:bottom w:w="0" w:type="dxa"/>
              <w:right w:w="108" w:type="dxa"/>
            </w:tcMar>
            <w:vAlign w:val="top"/>
          </w:tcPr>
          <w:p>
            <w:pPr>
              <w:jc w:val="center"/>
              <w:rPr>
                <w:rFonts w:ascii="Arial" w:hAnsi="Arial" w:cs="Arial"/>
                <w:bCs/>
                <w:sz w:val="20"/>
                <w:szCs w:val="20"/>
              </w:rPr>
            </w:pPr>
            <w:r>
              <w:rPr>
                <w:rFonts w:ascii="Arial" w:hAnsi="Arial" w:cs="Arial"/>
                <w:b/>
                <w:bCs/>
                <w:sz w:val="20"/>
                <w:szCs w:val="20"/>
              </w:rPr>
              <w:t>HỘI ĐỒNG NHÂN DÂN</w:t>
            </w:r>
            <w:r>
              <w:rPr>
                <w:rFonts w:ascii="Arial" w:hAnsi="Arial" w:cs="Arial"/>
                <w:b/>
                <w:bCs/>
                <w:sz w:val="20"/>
                <w:szCs w:val="20"/>
              </w:rPr>
              <w:br w:type="textWrapping"/>
            </w:r>
            <w:r>
              <w:rPr>
                <w:rFonts w:ascii="Arial" w:hAnsi="Arial" w:cs="Arial"/>
                <w:b/>
                <w:bCs/>
                <w:sz w:val="20"/>
                <w:szCs w:val="20"/>
              </w:rPr>
              <w:t>TỈNH NGHỆ AN</w:t>
            </w:r>
            <w:r>
              <w:rPr>
                <w:rFonts w:ascii="Arial" w:hAnsi="Arial" w:cs="Arial"/>
                <w:b/>
                <w:bCs/>
                <w:sz w:val="20"/>
                <w:szCs w:val="20"/>
              </w:rPr>
              <w:br w:type="textWrapping"/>
            </w:r>
            <w:r>
              <w:rPr>
                <w:rFonts w:ascii="Arial" w:hAnsi="Arial" w:cs="Arial"/>
                <w:bCs/>
                <w:sz w:val="20"/>
                <w:szCs w:val="20"/>
              </w:rPr>
              <w:t>____________</w:t>
            </w:r>
          </w:p>
          <w:p>
            <w:pPr>
              <w:jc w:val="center"/>
              <w:rPr>
                <w:rFonts w:ascii="Arial" w:hAnsi="Arial" w:cs="Arial"/>
                <w:sz w:val="20"/>
                <w:szCs w:val="20"/>
              </w:rPr>
            </w:pPr>
            <w:r>
              <w:rPr>
                <w:rFonts w:ascii="Arial" w:hAnsi="Arial" w:cs="Arial"/>
                <w:sz w:val="20"/>
                <w:szCs w:val="20"/>
              </w:rPr>
              <w:t>Số: 19/2019/NQ-HĐND</w:t>
            </w:r>
          </w:p>
        </w:tc>
        <w:tc>
          <w:tcPr>
            <w:tcW w:w="5665" w:type="dxa"/>
            <w:tcBorders>
              <w:top w:val="nil"/>
              <w:left w:val="nil"/>
              <w:bottom w:val="nil"/>
              <w:right w:val="nil"/>
            </w:tcBorders>
            <w:shd w:val="clear" w:color="auto" w:fill="auto"/>
            <w:noWrap w:val="0"/>
            <w:tcMar>
              <w:top w:w="0" w:type="dxa"/>
              <w:left w:w="108" w:type="dxa"/>
              <w:bottom w:w="0" w:type="dxa"/>
              <w:right w:w="108" w:type="dxa"/>
            </w:tcMar>
            <w:vAlign w:val="top"/>
          </w:tcPr>
          <w:p>
            <w:pPr>
              <w:jc w:val="center"/>
              <w:rPr>
                <w:rFonts w:ascii="Arial" w:hAnsi="Arial" w:cs="Arial"/>
                <w:bCs/>
                <w:sz w:val="20"/>
                <w:szCs w:val="20"/>
              </w:rPr>
            </w:pPr>
            <w:r>
              <w:rPr>
                <w:rFonts w:ascii="Arial" w:hAnsi="Arial" w:cs="Arial"/>
                <w:b/>
                <w:bCs/>
                <w:sz w:val="20"/>
                <w:szCs w:val="20"/>
              </w:rPr>
              <w:t>CỘNG HÒA XÃ HỘI CHỦ NGHĨA VIỆT NAM</w:t>
            </w:r>
            <w:r>
              <w:rPr>
                <w:rFonts w:ascii="Arial" w:hAnsi="Arial" w:cs="Arial"/>
                <w:b/>
                <w:bCs/>
                <w:sz w:val="20"/>
                <w:szCs w:val="20"/>
              </w:rPr>
              <w:br w:type="textWrapping"/>
            </w:r>
            <w:r>
              <w:rPr>
                <w:rFonts w:ascii="Arial" w:hAnsi="Arial" w:cs="Arial"/>
                <w:b/>
                <w:bCs/>
                <w:sz w:val="20"/>
                <w:szCs w:val="20"/>
              </w:rPr>
              <w:t xml:space="preserve">Độc lập - Tự do - Hạnh phúc </w:t>
            </w:r>
            <w:r>
              <w:rPr>
                <w:rFonts w:ascii="Arial" w:hAnsi="Arial" w:cs="Arial"/>
                <w:b/>
                <w:bCs/>
                <w:sz w:val="20"/>
                <w:szCs w:val="20"/>
              </w:rPr>
              <w:br w:type="textWrapping"/>
            </w:r>
            <w:r>
              <w:rPr>
                <w:rFonts w:ascii="Arial" w:hAnsi="Arial" w:cs="Arial"/>
                <w:bCs/>
                <w:sz w:val="20"/>
                <w:szCs w:val="20"/>
              </w:rPr>
              <w:t>________________________</w:t>
            </w:r>
          </w:p>
          <w:p>
            <w:pPr>
              <w:jc w:val="right"/>
              <w:rPr>
                <w:rFonts w:ascii="Arial" w:hAnsi="Arial" w:cs="Arial"/>
                <w:sz w:val="20"/>
                <w:szCs w:val="20"/>
              </w:rPr>
            </w:pPr>
            <w:r>
              <w:rPr>
                <w:rFonts w:ascii="Arial" w:hAnsi="Arial" w:cs="Arial"/>
                <w:i/>
                <w:iCs/>
                <w:sz w:val="20"/>
                <w:szCs w:val="20"/>
              </w:rPr>
              <w:t>Nghệ An, ngày 12 tháng 12 năm 2019</w:t>
            </w:r>
          </w:p>
        </w:tc>
      </w:tr>
    </w:tbl>
    <w:p>
      <w:pPr>
        <w:jc w:val="center"/>
        <w:rPr>
          <w:rFonts w:ascii="Arial" w:hAnsi="Arial" w:cs="Arial"/>
          <w:sz w:val="20"/>
          <w:szCs w:val="20"/>
        </w:rPr>
      </w:pPr>
      <w:r>
        <w:rPr>
          <w:rFonts w:ascii="Arial" w:hAnsi="Arial" w:cs="Arial"/>
          <w:sz w:val="20"/>
          <w:szCs w:val="20"/>
        </w:rPr>
        <w:t> </w:t>
      </w:r>
    </w:p>
    <w:p>
      <w:pPr>
        <w:jc w:val="center"/>
        <w:rPr>
          <w:rFonts w:ascii="Arial" w:hAnsi="Arial" w:cs="Arial"/>
          <w:sz w:val="20"/>
          <w:szCs w:val="20"/>
        </w:rPr>
      </w:pPr>
    </w:p>
    <w:p>
      <w:pPr>
        <w:jc w:val="center"/>
        <w:rPr>
          <w:rFonts w:ascii="Arial" w:hAnsi="Arial" w:cs="Arial"/>
          <w:sz w:val="20"/>
          <w:szCs w:val="20"/>
        </w:rPr>
      </w:pPr>
      <w:r>
        <w:rPr>
          <w:rFonts w:ascii="Arial" w:hAnsi="Arial" w:cs="Arial"/>
          <w:b/>
          <w:bCs/>
          <w:sz w:val="20"/>
          <w:szCs w:val="20"/>
        </w:rPr>
        <w:t>NGHỊ QUYẾT</w:t>
      </w:r>
    </w:p>
    <w:p>
      <w:pPr>
        <w:jc w:val="center"/>
        <w:rPr>
          <w:rFonts w:ascii="Arial" w:hAnsi="Arial" w:cs="Arial"/>
          <w:b/>
          <w:sz w:val="20"/>
          <w:szCs w:val="20"/>
        </w:rPr>
      </w:pPr>
      <w:r>
        <w:rPr>
          <w:rFonts w:ascii="Arial" w:hAnsi="Arial" w:cs="Arial"/>
          <w:b/>
          <w:sz w:val="20"/>
          <w:szCs w:val="20"/>
        </w:rPr>
        <w:t>VỀ VIỆC THÔNG QUA BẢNG GIÁ ĐẤT TRÊN ĐỊA BÀN TỈNH NGHỆ AN GIAI ĐOẠN TỪ NGÀY 01 THÁNG 01 NĂM 2020 ĐẾN NGÀY 31 THÁNG 12 NĂM 2024</w:t>
      </w:r>
    </w:p>
    <w:p>
      <w:pPr>
        <w:jc w:val="center"/>
        <w:rPr>
          <w:rFonts w:ascii="Arial" w:hAnsi="Arial" w:cs="Arial"/>
          <w:sz w:val="20"/>
          <w:szCs w:val="20"/>
        </w:rPr>
      </w:pPr>
      <w:r>
        <w:rPr>
          <w:rFonts w:ascii="Arial" w:hAnsi="Arial" w:cs="Arial"/>
          <w:sz w:val="20"/>
          <w:szCs w:val="20"/>
        </w:rPr>
        <w:t>_____________</w:t>
      </w:r>
    </w:p>
    <w:p>
      <w:pPr>
        <w:jc w:val="center"/>
        <w:rPr>
          <w:rFonts w:ascii="Arial" w:hAnsi="Arial" w:cs="Arial"/>
          <w:bCs/>
          <w:sz w:val="20"/>
          <w:szCs w:val="20"/>
        </w:rPr>
      </w:pPr>
      <w:r>
        <w:rPr>
          <w:rFonts w:ascii="Arial" w:hAnsi="Arial" w:cs="Arial"/>
          <w:bCs/>
          <w:sz w:val="20"/>
          <w:szCs w:val="20"/>
        </w:rPr>
        <w:t>HỘI ĐỒNG NHÂN DÂN TỈNH NGHỆ AN</w:t>
      </w:r>
      <w:r>
        <w:rPr>
          <w:rFonts w:ascii="Arial" w:hAnsi="Arial" w:cs="Arial"/>
          <w:bCs/>
          <w:sz w:val="20"/>
          <w:szCs w:val="20"/>
        </w:rPr>
        <w:br w:type="textWrapping"/>
      </w:r>
      <w:r>
        <w:rPr>
          <w:rFonts w:ascii="Arial" w:hAnsi="Arial" w:cs="Arial"/>
          <w:bCs/>
          <w:sz w:val="20"/>
          <w:szCs w:val="20"/>
        </w:rPr>
        <w:t>KHOÁ XVII, KỲ HỌP THỨ X</w:t>
      </w:r>
    </w:p>
    <w:p>
      <w:pPr>
        <w:jc w:val="center"/>
        <w:rPr>
          <w:rFonts w:ascii="Arial" w:hAnsi="Arial" w:cs="Arial"/>
          <w:sz w:val="20"/>
          <w:szCs w:val="20"/>
        </w:rPr>
      </w:pPr>
    </w:p>
    <w:p>
      <w:pPr>
        <w:spacing w:after="120"/>
        <w:ind w:firstLine="720"/>
        <w:jc w:val="both"/>
        <w:rPr>
          <w:rFonts w:ascii="Arial" w:hAnsi="Arial" w:cs="Arial"/>
          <w:sz w:val="20"/>
          <w:szCs w:val="20"/>
        </w:rPr>
      </w:pPr>
      <w:r>
        <w:rPr>
          <w:rFonts w:ascii="Arial" w:hAnsi="Arial" w:cs="Arial"/>
          <w:i/>
          <w:iCs/>
          <w:sz w:val="20"/>
          <w:szCs w:val="20"/>
        </w:rPr>
        <w:t>Căn cứ Luật Tổ chức chính quyền địa phương ngày 19 tháng 6 năm 2015;</w:t>
      </w:r>
    </w:p>
    <w:p>
      <w:pPr>
        <w:spacing w:after="120"/>
        <w:ind w:firstLine="720"/>
        <w:jc w:val="both"/>
        <w:rPr>
          <w:rFonts w:ascii="Arial" w:hAnsi="Arial" w:cs="Arial"/>
          <w:sz w:val="20"/>
          <w:szCs w:val="20"/>
        </w:rPr>
      </w:pPr>
      <w:r>
        <w:rPr>
          <w:rFonts w:ascii="Arial" w:hAnsi="Arial" w:cs="Arial"/>
          <w:i/>
          <w:iCs/>
          <w:sz w:val="20"/>
          <w:szCs w:val="20"/>
        </w:rPr>
        <w:t>Căn cứ Luật đất đai ngày 29 tháng 11 năm 2013;</w:t>
      </w:r>
    </w:p>
    <w:p>
      <w:pPr>
        <w:spacing w:after="120"/>
        <w:ind w:firstLine="720"/>
        <w:jc w:val="both"/>
        <w:rPr>
          <w:rFonts w:ascii="Arial" w:hAnsi="Arial" w:cs="Arial"/>
          <w:sz w:val="20"/>
          <w:szCs w:val="20"/>
        </w:rPr>
      </w:pPr>
      <w:r>
        <w:rPr>
          <w:rFonts w:ascii="Arial" w:hAnsi="Arial" w:cs="Arial"/>
          <w:i/>
          <w:iCs/>
          <w:sz w:val="20"/>
          <w:szCs w:val="20"/>
        </w:rPr>
        <w:t>Căn cứ Nghị định số 44/2014/NĐ-CP ngày 15 tháng 5 năm 2014 của Chính phủ quy định về giá đất;</w:t>
      </w:r>
    </w:p>
    <w:p>
      <w:pPr>
        <w:spacing w:after="120"/>
        <w:ind w:firstLine="720"/>
        <w:jc w:val="both"/>
        <w:rPr>
          <w:rFonts w:ascii="Arial" w:hAnsi="Arial" w:cs="Arial"/>
          <w:sz w:val="20"/>
          <w:szCs w:val="20"/>
        </w:rPr>
      </w:pPr>
      <w:r>
        <w:rPr>
          <w:rFonts w:ascii="Arial" w:hAnsi="Arial" w:cs="Arial"/>
          <w:i/>
          <w:iCs/>
          <w:sz w:val="20"/>
          <w:szCs w:val="20"/>
        </w:rPr>
        <w:t>Căn cứ Nghị định số 104/2014/NĐ-CP ngày 14 tháng 11 năm 2014 của Chính phủ quy định về khung giá đất;</w:t>
      </w:r>
    </w:p>
    <w:p>
      <w:pPr>
        <w:spacing w:after="120"/>
        <w:ind w:firstLine="720"/>
        <w:jc w:val="both"/>
        <w:rPr>
          <w:rFonts w:ascii="Arial" w:hAnsi="Arial" w:cs="Arial"/>
          <w:sz w:val="20"/>
          <w:szCs w:val="20"/>
        </w:rPr>
      </w:pPr>
      <w:r>
        <w:rPr>
          <w:rFonts w:ascii="Arial" w:hAnsi="Arial" w:cs="Arial"/>
          <w:i/>
          <w:iCs/>
          <w:sz w:val="20"/>
          <w:szCs w:val="20"/>
        </w:rPr>
        <w:t>Căn cứ Thông tư 36/2014/TT-BTNMT ngày 30 tháng 6 năm 2014 của Bộ Tài nguyên và Môi trường về Quy định chi tiết phương pháp định giá đất; xây dựng, điều chỉnh bảng giá đất; định giá đất cụ thể và tư vấn xác định giá đất;</w:t>
      </w:r>
    </w:p>
    <w:p>
      <w:pPr>
        <w:ind w:firstLine="720"/>
        <w:jc w:val="both"/>
        <w:rPr>
          <w:rFonts w:ascii="Arial" w:hAnsi="Arial" w:cs="Arial"/>
          <w:sz w:val="20"/>
          <w:szCs w:val="20"/>
        </w:rPr>
      </w:pPr>
      <w:r>
        <w:rPr>
          <w:rFonts w:ascii="Arial" w:hAnsi="Arial" w:cs="Arial"/>
          <w:i/>
          <w:iCs/>
          <w:sz w:val="20"/>
          <w:szCs w:val="20"/>
        </w:rPr>
        <w:t>Xét Tờ trình số 8351/TTr-UBND ngày 25 tháng 11 năm 2019 của UBND tỉnh về việc đề nghị thông qua bảng giá đất trên địa bàn tỉnh Nghệ An giai đoạn từ ngày 01 tháng 01 năm 2020 đến ngày 31 tháng 12 năm 2024; Báo cáo thẩm tra của Ban Kinh tế - Ngân sách và ý kiến thảo luận của đại biểu HĐND tỉnh tại kỳ họp,</w:t>
      </w:r>
    </w:p>
    <w:p>
      <w:pPr>
        <w:jc w:val="center"/>
        <w:rPr>
          <w:rFonts w:ascii="Arial" w:hAnsi="Arial" w:cs="Arial"/>
          <w:b/>
          <w:bCs/>
          <w:sz w:val="20"/>
          <w:szCs w:val="20"/>
        </w:rPr>
      </w:pPr>
    </w:p>
    <w:p>
      <w:pPr>
        <w:jc w:val="center"/>
        <w:rPr>
          <w:rFonts w:ascii="Arial" w:hAnsi="Arial" w:cs="Arial"/>
          <w:b/>
          <w:bCs/>
          <w:sz w:val="20"/>
          <w:szCs w:val="20"/>
        </w:rPr>
      </w:pPr>
      <w:r>
        <w:rPr>
          <w:rFonts w:ascii="Arial" w:hAnsi="Arial" w:cs="Arial"/>
          <w:b/>
          <w:bCs/>
          <w:sz w:val="20"/>
          <w:szCs w:val="20"/>
        </w:rPr>
        <w:t>QUYẾT NGHỊ:</w:t>
      </w:r>
    </w:p>
    <w:p>
      <w:pPr>
        <w:jc w:val="center"/>
        <w:rPr>
          <w:rFonts w:ascii="Arial" w:hAnsi="Arial" w:cs="Arial"/>
          <w:sz w:val="20"/>
          <w:szCs w:val="20"/>
        </w:rPr>
      </w:pPr>
    </w:p>
    <w:p>
      <w:pPr>
        <w:spacing w:after="120"/>
        <w:ind w:firstLine="720"/>
        <w:jc w:val="both"/>
        <w:rPr>
          <w:rFonts w:ascii="Arial" w:hAnsi="Arial" w:cs="Arial"/>
          <w:sz w:val="20"/>
          <w:szCs w:val="20"/>
        </w:rPr>
      </w:pPr>
      <w:r>
        <w:rPr>
          <w:rFonts w:ascii="Arial" w:hAnsi="Arial" w:cs="Arial"/>
          <w:b/>
          <w:bCs/>
          <w:sz w:val="20"/>
          <w:szCs w:val="20"/>
          <w:lang w:val="nl-NL"/>
        </w:rPr>
        <w:t>Điều 1</w:t>
      </w:r>
      <w:r>
        <w:rPr>
          <w:rFonts w:ascii="Arial" w:hAnsi="Arial" w:cs="Arial"/>
          <w:sz w:val="20"/>
          <w:szCs w:val="20"/>
          <w:lang w:val="nl-NL"/>
        </w:rPr>
        <w:t xml:space="preserve">. </w:t>
      </w:r>
      <w:r>
        <w:rPr>
          <w:rFonts w:ascii="Arial" w:hAnsi="Arial" w:cs="Arial"/>
          <w:b/>
          <w:bCs/>
          <w:sz w:val="20"/>
          <w:szCs w:val="20"/>
          <w:lang w:val="nl-NL"/>
        </w:rPr>
        <w:t>Phạm vi điều chỉnh và đối tượng áp dụng</w:t>
      </w:r>
    </w:p>
    <w:p>
      <w:pPr>
        <w:spacing w:after="120"/>
        <w:ind w:firstLine="720"/>
        <w:jc w:val="both"/>
        <w:rPr>
          <w:rFonts w:ascii="Arial" w:hAnsi="Arial" w:cs="Arial"/>
          <w:sz w:val="20"/>
          <w:szCs w:val="20"/>
        </w:rPr>
      </w:pPr>
      <w:r>
        <w:rPr>
          <w:rFonts w:ascii="Arial" w:hAnsi="Arial" w:cs="Arial"/>
          <w:b/>
          <w:bCs/>
          <w:sz w:val="20"/>
          <w:szCs w:val="20"/>
          <w:lang w:val="nl-NL"/>
        </w:rPr>
        <w:t>1. Phạm vi điều chỉnh:</w:t>
      </w:r>
    </w:p>
    <w:p>
      <w:pPr>
        <w:spacing w:after="120"/>
        <w:ind w:firstLine="720"/>
        <w:jc w:val="both"/>
        <w:rPr>
          <w:rFonts w:ascii="Arial" w:hAnsi="Arial" w:cs="Arial"/>
          <w:sz w:val="20"/>
          <w:szCs w:val="20"/>
        </w:rPr>
      </w:pPr>
      <w:r>
        <w:rPr>
          <w:rFonts w:ascii="Arial" w:hAnsi="Arial" w:cs="Arial"/>
          <w:sz w:val="20"/>
          <w:szCs w:val="20"/>
          <w:lang w:val="nl-NL"/>
        </w:rPr>
        <w:t>Nghị quyết này quy định bảng giá đất trên địa bàn tỉnh Nghệ An giai đoạn từ ngày 01 tháng 01 năm 2020 đến ngày 31 tháng 12 năm 2024.</w:t>
      </w:r>
    </w:p>
    <w:p>
      <w:pPr>
        <w:spacing w:after="120"/>
        <w:ind w:firstLine="720"/>
        <w:jc w:val="both"/>
        <w:rPr>
          <w:rFonts w:ascii="Arial" w:hAnsi="Arial" w:cs="Arial"/>
          <w:sz w:val="20"/>
          <w:szCs w:val="20"/>
        </w:rPr>
      </w:pPr>
      <w:r>
        <w:rPr>
          <w:rFonts w:ascii="Arial" w:hAnsi="Arial" w:cs="Arial"/>
          <w:b/>
          <w:bCs/>
          <w:sz w:val="20"/>
          <w:szCs w:val="20"/>
          <w:lang w:val="nl-NL"/>
        </w:rPr>
        <w:t>2. Đối tượng áp dụng:</w:t>
      </w:r>
    </w:p>
    <w:p>
      <w:pPr>
        <w:spacing w:after="120"/>
        <w:ind w:firstLine="720"/>
        <w:jc w:val="both"/>
        <w:rPr>
          <w:rFonts w:ascii="Arial" w:hAnsi="Arial" w:cs="Arial"/>
          <w:sz w:val="20"/>
          <w:szCs w:val="20"/>
        </w:rPr>
      </w:pPr>
      <w:r>
        <w:rPr>
          <w:rFonts w:ascii="Arial" w:hAnsi="Arial" w:cs="Arial"/>
          <w:sz w:val="20"/>
          <w:szCs w:val="20"/>
          <w:lang w:val="nl-NL"/>
        </w:rPr>
        <w:t>a) Các cơ quan quản lý nhà nước;</w:t>
      </w:r>
    </w:p>
    <w:p>
      <w:pPr>
        <w:spacing w:after="120"/>
        <w:ind w:firstLine="720"/>
        <w:jc w:val="both"/>
        <w:rPr>
          <w:rFonts w:ascii="Arial" w:hAnsi="Arial" w:cs="Arial"/>
          <w:sz w:val="20"/>
          <w:szCs w:val="20"/>
        </w:rPr>
      </w:pPr>
      <w:r>
        <w:rPr>
          <w:rFonts w:ascii="Arial" w:hAnsi="Arial" w:cs="Arial"/>
          <w:sz w:val="20"/>
          <w:szCs w:val="20"/>
          <w:lang w:val="nl-NL"/>
        </w:rPr>
        <w:t>b) Các tổ chức, hộ gia đình, cá nhân sử dụng đất;</w:t>
      </w:r>
    </w:p>
    <w:p>
      <w:pPr>
        <w:spacing w:after="120"/>
        <w:ind w:firstLine="720"/>
        <w:jc w:val="both"/>
        <w:rPr>
          <w:rFonts w:ascii="Arial" w:hAnsi="Arial" w:cs="Arial"/>
          <w:sz w:val="20"/>
          <w:szCs w:val="20"/>
        </w:rPr>
      </w:pPr>
      <w:r>
        <w:rPr>
          <w:rFonts w:ascii="Arial" w:hAnsi="Arial" w:cs="Arial"/>
          <w:sz w:val="20"/>
          <w:szCs w:val="20"/>
          <w:lang w:val="nl-NL"/>
        </w:rPr>
        <w:t>c) Các cơ quan, đơn vị, tổ chức, cá nhân có liên quan.</w:t>
      </w:r>
    </w:p>
    <w:p>
      <w:pPr>
        <w:spacing w:after="120"/>
        <w:ind w:firstLine="720"/>
        <w:jc w:val="both"/>
        <w:rPr>
          <w:rFonts w:ascii="Arial" w:hAnsi="Arial" w:cs="Arial"/>
          <w:sz w:val="20"/>
          <w:szCs w:val="20"/>
        </w:rPr>
      </w:pPr>
      <w:r>
        <w:rPr>
          <w:rFonts w:ascii="Arial" w:hAnsi="Arial" w:cs="Arial"/>
          <w:b/>
          <w:bCs/>
          <w:sz w:val="20"/>
          <w:szCs w:val="20"/>
          <w:lang w:val="nl-NL"/>
        </w:rPr>
        <w:t>Điều 2. Thông qua bảng giá đất trên địa bàn tỉnh Nghệ An giai đoạn từ ngày 01 tháng 01 năm 2020 đến ngày 31 tháng 12 năm 2024 như sau:</w:t>
      </w:r>
    </w:p>
    <w:p>
      <w:pPr>
        <w:spacing w:after="120"/>
        <w:ind w:firstLine="720"/>
        <w:jc w:val="both"/>
        <w:rPr>
          <w:rFonts w:ascii="Arial" w:hAnsi="Arial" w:cs="Arial"/>
          <w:sz w:val="20"/>
          <w:szCs w:val="20"/>
        </w:rPr>
      </w:pPr>
      <w:r>
        <w:rPr>
          <w:rFonts w:ascii="Arial" w:hAnsi="Arial" w:cs="Arial"/>
          <w:sz w:val="20"/>
          <w:szCs w:val="20"/>
          <w:lang w:val="nl-NL"/>
        </w:rPr>
        <w:t>1. Bảng giá đất ở, đất trồng lúa, đất trồng cây hàng năm, đất trồng cây lâu năm, đất rừng sản xuất, đất nuôi trồng thủy sản, đất làm muối trên địa bàn 21 huyện, thành phố và thị xã (phụ lục 01 đến phụ lục 21 kèm theo Nghị quyết này).</w:t>
      </w:r>
    </w:p>
    <w:p>
      <w:pPr>
        <w:spacing w:after="120"/>
        <w:ind w:firstLine="720"/>
        <w:jc w:val="both"/>
        <w:rPr>
          <w:rFonts w:ascii="Arial" w:hAnsi="Arial" w:cs="Arial"/>
          <w:sz w:val="20"/>
          <w:szCs w:val="20"/>
        </w:rPr>
      </w:pPr>
      <w:r>
        <w:rPr>
          <w:rFonts w:ascii="Arial" w:hAnsi="Arial" w:cs="Arial"/>
          <w:sz w:val="20"/>
          <w:szCs w:val="20"/>
          <w:lang w:val="nl-NL"/>
        </w:rPr>
        <w:t>2. Bảng giá đất sản xuất kinh doanh phi nông nghiệp (không bao gồm đất thương mại, dịch vụ): Bằng 50% mức giá đất ở liền kề (cùng vị trí) hoặc đất ở có vị trí tương đương (cùng tuyến đường và hạ tầng như nhau) nhưng không thấp hơn mức giá tối thiểu theo quy định của Chính phủ.</w:t>
      </w:r>
    </w:p>
    <w:p>
      <w:pPr>
        <w:spacing w:after="120"/>
        <w:ind w:firstLine="720"/>
        <w:jc w:val="both"/>
        <w:rPr>
          <w:rFonts w:ascii="Arial" w:hAnsi="Arial" w:cs="Arial"/>
          <w:sz w:val="20"/>
          <w:szCs w:val="20"/>
        </w:rPr>
      </w:pPr>
      <w:r>
        <w:rPr>
          <w:rFonts w:ascii="Arial" w:hAnsi="Arial" w:cs="Arial"/>
          <w:sz w:val="20"/>
          <w:szCs w:val="20"/>
          <w:lang w:val="nl-NL"/>
        </w:rPr>
        <w:t>3. Bảng giá đất th</w:t>
      </w:r>
      <w:bookmarkStart w:id="0" w:name="_GoBack"/>
      <w:bookmarkEnd w:id="0"/>
      <w:r>
        <w:rPr>
          <w:rFonts w:ascii="Arial" w:hAnsi="Arial" w:cs="Arial"/>
          <w:sz w:val="20"/>
          <w:szCs w:val="20"/>
          <w:lang w:val="nl-NL"/>
        </w:rPr>
        <w:t>ương mại, dịch vụ: Bằng 55% mức giá đất ở liền kề (cùng vị trí) hoặc đất ở có vị trí tương đương (cùng tuyến đường và hạ tầng như nhau), nhưng không thấp hơn mức giá tối thiểu theo quy định của Chính phủ.</w:t>
      </w:r>
    </w:p>
    <w:p>
      <w:pPr>
        <w:spacing w:after="120"/>
        <w:ind w:firstLine="720"/>
        <w:jc w:val="both"/>
        <w:rPr>
          <w:rFonts w:ascii="Arial" w:hAnsi="Arial" w:cs="Arial"/>
          <w:sz w:val="20"/>
          <w:szCs w:val="20"/>
        </w:rPr>
      </w:pPr>
      <w:r>
        <w:rPr>
          <w:rFonts w:ascii="Arial" w:hAnsi="Arial" w:cs="Arial"/>
          <w:sz w:val="20"/>
          <w:szCs w:val="20"/>
          <w:lang w:val="nl-NL"/>
        </w:rPr>
        <w:t>4. Bảng giá đất sản xuất kinh doanh phục vụ mục đích khai thác khoáng sản: Bằng 100% mức giá đất ở liền kề hoặc vị trí tương đương, nhưng không vượt mức giá tối đa đất sản xuất kinh doanh phi nông nghiệp không phải là đất thương mại, dịch vụ theo quy định của Chính phủ.</w:t>
      </w:r>
    </w:p>
    <w:p>
      <w:pPr>
        <w:spacing w:after="120"/>
        <w:ind w:firstLine="720"/>
        <w:jc w:val="both"/>
        <w:rPr>
          <w:rFonts w:ascii="Arial" w:hAnsi="Arial" w:cs="Arial"/>
          <w:sz w:val="20"/>
          <w:szCs w:val="20"/>
        </w:rPr>
      </w:pPr>
      <w:r>
        <w:rPr>
          <w:rFonts w:ascii="Arial" w:hAnsi="Arial" w:cs="Arial"/>
          <w:sz w:val="20"/>
          <w:szCs w:val="20"/>
          <w:lang w:val="nl-NL"/>
        </w:rPr>
        <w:t>5. Bảng giá các loại đất khác: Căn cứ mức giá đất ở, đất rừng sản xuất, các loại đất nông nghiệp được quy định tại bảng giá để xác định mức giá.</w:t>
      </w:r>
    </w:p>
    <w:p>
      <w:pPr>
        <w:spacing w:after="120"/>
        <w:ind w:firstLine="720"/>
        <w:jc w:val="both"/>
        <w:rPr>
          <w:rFonts w:ascii="Arial" w:hAnsi="Arial" w:cs="Arial"/>
          <w:sz w:val="20"/>
          <w:szCs w:val="20"/>
        </w:rPr>
      </w:pPr>
      <w:r>
        <w:rPr>
          <w:rFonts w:ascii="Arial" w:hAnsi="Arial" w:cs="Arial"/>
          <w:sz w:val="20"/>
          <w:szCs w:val="20"/>
          <w:lang w:val="nl-NL"/>
        </w:rPr>
        <w:t>6. Đối với những lô, thửa đất ở và đất sản xuất kinh doanh phi nông nghiệp tiếp giáp ít nhất 02 mặt đường, trên cơ sở bảng giá quy định tại khoản 1 và khoản 2 Điều này, mức giá còn được xác định như sau:</w:t>
      </w:r>
    </w:p>
    <w:p>
      <w:pPr>
        <w:spacing w:after="120"/>
        <w:ind w:firstLine="720"/>
        <w:jc w:val="both"/>
        <w:rPr>
          <w:rFonts w:ascii="Arial" w:hAnsi="Arial" w:cs="Arial"/>
          <w:sz w:val="20"/>
          <w:szCs w:val="20"/>
        </w:rPr>
      </w:pPr>
      <w:r>
        <w:rPr>
          <w:rFonts w:ascii="Arial" w:hAnsi="Arial" w:cs="Arial"/>
          <w:sz w:val="20"/>
          <w:szCs w:val="20"/>
          <w:lang w:val="nl-NL"/>
        </w:rPr>
        <w:t>a) Mức giá tăng thêm tối thiểu 10% so với những lô thửa khác liền kề trên cùng tuyến đường có mức giá cao hơn.</w:t>
      </w:r>
    </w:p>
    <w:p>
      <w:pPr>
        <w:spacing w:after="120"/>
        <w:ind w:firstLine="720"/>
        <w:jc w:val="both"/>
        <w:rPr>
          <w:rFonts w:ascii="Arial" w:hAnsi="Arial" w:cs="Arial"/>
          <w:sz w:val="20"/>
          <w:szCs w:val="20"/>
        </w:rPr>
      </w:pPr>
      <w:r>
        <w:rPr>
          <w:rFonts w:ascii="Arial" w:hAnsi="Arial" w:cs="Arial"/>
          <w:sz w:val="20"/>
          <w:szCs w:val="20"/>
          <w:lang w:val="nl-NL"/>
        </w:rPr>
        <w:t>b) Đối với những lô, thửa đất có chiều sâu trên 30m tính từ chỉ giới xây dựng đường, ngoài việc xác định mức giá lô góc như trên thì mức giá của phần diện tích đất còn lại được xác định như sau:</w:t>
      </w:r>
    </w:p>
    <w:p>
      <w:pPr>
        <w:spacing w:after="120"/>
        <w:ind w:firstLine="720"/>
        <w:jc w:val="both"/>
        <w:rPr>
          <w:rFonts w:ascii="Arial" w:hAnsi="Arial" w:cs="Arial"/>
          <w:sz w:val="20"/>
          <w:szCs w:val="20"/>
        </w:rPr>
      </w:pPr>
      <w:r>
        <w:rPr>
          <w:rFonts w:ascii="Arial" w:hAnsi="Arial" w:cs="Arial"/>
          <w:sz w:val="20"/>
          <w:szCs w:val="20"/>
          <w:lang w:val="nl-NL"/>
        </w:rPr>
        <w:t>- Xác định giá phần diện tích 20m đầu tiên bám đường (vị trí 1) theo thứ tự từ đường có mức giá cao đến đường có mức giá thấp.</w:t>
      </w:r>
    </w:p>
    <w:p>
      <w:pPr>
        <w:spacing w:after="120"/>
        <w:ind w:firstLine="720"/>
        <w:jc w:val="both"/>
        <w:rPr>
          <w:rFonts w:ascii="Arial" w:hAnsi="Arial" w:cs="Arial"/>
          <w:sz w:val="20"/>
          <w:szCs w:val="20"/>
        </w:rPr>
      </w:pPr>
      <w:r>
        <w:rPr>
          <w:rFonts w:ascii="Arial" w:hAnsi="Arial" w:cs="Arial"/>
          <w:sz w:val="20"/>
          <w:szCs w:val="20"/>
          <w:lang w:val="nl-NL"/>
        </w:rPr>
        <w:t>- Phần diện tích còn lại được xác định theo đường có mức giá cao nhất bằng phương pháp phân lớp tại Khoản 7 Điều này.</w:t>
      </w:r>
    </w:p>
    <w:p>
      <w:pPr>
        <w:spacing w:after="120"/>
        <w:ind w:firstLine="720"/>
        <w:jc w:val="both"/>
        <w:rPr>
          <w:rFonts w:ascii="Arial" w:hAnsi="Arial" w:cs="Arial"/>
          <w:sz w:val="20"/>
          <w:szCs w:val="20"/>
        </w:rPr>
      </w:pPr>
      <w:r>
        <w:rPr>
          <w:rFonts w:ascii="Arial" w:hAnsi="Arial" w:cs="Arial"/>
          <w:sz w:val="20"/>
          <w:szCs w:val="20"/>
          <w:lang w:val="nl-NL"/>
        </w:rPr>
        <w:t>7. Đối với những lô thửa đất ở, đất thương mại, dịch vụ và đất sản xuất kinh doanh phi nông nghiệp không phải là đất thương mại, dịch vụ có chiều sâu trên 30m tính từ chỉ giới xây dựng đường giao thông, mức giá đất được xác định theo phương pháp phân lớp đảm bảo mức giá của lớp đất sau cùng không được thấp hơn mức giá đất của các thửa liền kề có vị trí tương đương, cụ thể:</w:t>
      </w:r>
    </w:p>
    <w:p>
      <w:pPr>
        <w:spacing w:after="120"/>
        <w:ind w:firstLine="720"/>
        <w:jc w:val="both"/>
        <w:rPr>
          <w:rFonts w:ascii="Arial" w:hAnsi="Arial" w:cs="Arial"/>
          <w:sz w:val="20"/>
          <w:szCs w:val="20"/>
        </w:rPr>
      </w:pPr>
      <w:r>
        <w:rPr>
          <w:rFonts w:ascii="Arial" w:hAnsi="Arial" w:cs="Arial"/>
          <w:sz w:val="20"/>
          <w:szCs w:val="20"/>
          <w:lang w:val="nl-NL"/>
        </w:rPr>
        <w:t>a) Phần diện tích sâu 20m đầu tiên bám đường (vị trí 1): Mức giá bằng 100% mức giá quy định tại bảng giá đất;</w:t>
      </w:r>
    </w:p>
    <w:p>
      <w:pPr>
        <w:spacing w:after="120"/>
        <w:ind w:firstLine="720"/>
        <w:jc w:val="both"/>
        <w:rPr>
          <w:rFonts w:ascii="Arial" w:hAnsi="Arial" w:cs="Arial"/>
          <w:sz w:val="20"/>
          <w:szCs w:val="20"/>
        </w:rPr>
      </w:pPr>
      <w:r>
        <w:rPr>
          <w:rFonts w:ascii="Arial" w:hAnsi="Arial" w:cs="Arial"/>
          <w:sz w:val="20"/>
          <w:szCs w:val="20"/>
          <w:lang w:val="nl-NL"/>
        </w:rPr>
        <w:t>b) Phần diện tích sâu trên 20m đến 40m tiếp theo: Mức giá bằng 60% mức giá quy định tại điểm a khoản này;</w:t>
      </w:r>
    </w:p>
    <w:p>
      <w:pPr>
        <w:spacing w:after="120"/>
        <w:ind w:firstLine="720"/>
        <w:jc w:val="both"/>
        <w:rPr>
          <w:rFonts w:ascii="Arial" w:hAnsi="Arial" w:cs="Arial"/>
          <w:sz w:val="20"/>
          <w:szCs w:val="20"/>
        </w:rPr>
      </w:pPr>
      <w:r>
        <w:rPr>
          <w:rFonts w:ascii="Arial" w:hAnsi="Arial" w:cs="Arial"/>
          <w:sz w:val="20"/>
          <w:szCs w:val="20"/>
          <w:lang w:val="nl-NL"/>
        </w:rPr>
        <w:t>c) Phần diện tích sâu trên 40m đến 60m tiếp theo: Mức giá bằng 40% mức giá quy định tại điểm a khoản này;</w:t>
      </w:r>
    </w:p>
    <w:p>
      <w:pPr>
        <w:spacing w:after="120"/>
        <w:ind w:firstLine="720"/>
        <w:jc w:val="both"/>
        <w:rPr>
          <w:rFonts w:ascii="Arial" w:hAnsi="Arial" w:cs="Arial"/>
          <w:sz w:val="20"/>
          <w:szCs w:val="20"/>
        </w:rPr>
      </w:pPr>
      <w:r>
        <w:rPr>
          <w:rFonts w:ascii="Arial" w:hAnsi="Arial" w:cs="Arial"/>
          <w:sz w:val="20"/>
          <w:szCs w:val="20"/>
          <w:lang w:val="nl-NL"/>
        </w:rPr>
        <w:t>d) Phần diện tích sâu trên 60m đến 200m tiếp theo: Mức giá bằng 20% mức giá quy định tại điểm a khoản này;</w:t>
      </w:r>
    </w:p>
    <w:p>
      <w:pPr>
        <w:spacing w:after="120"/>
        <w:ind w:firstLine="720"/>
        <w:jc w:val="both"/>
        <w:rPr>
          <w:rFonts w:ascii="Arial" w:hAnsi="Arial" w:cs="Arial"/>
          <w:sz w:val="20"/>
          <w:szCs w:val="20"/>
        </w:rPr>
      </w:pPr>
      <w:r>
        <w:rPr>
          <w:rFonts w:ascii="Arial" w:hAnsi="Arial" w:cs="Arial"/>
          <w:sz w:val="20"/>
          <w:szCs w:val="20"/>
          <w:lang w:val="nl-NL"/>
        </w:rPr>
        <w:t>đ) Phần diện tích sâu trên 200m đến 500m tiếp theo: Mức giá bằng 7% mức giá quy định tại điểm a khoản này;</w:t>
      </w:r>
    </w:p>
    <w:p>
      <w:pPr>
        <w:spacing w:after="120"/>
        <w:ind w:firstLine="720"/>
        <w:jc w:val="both"/>
        <w:rPr>
          <w:rFonts w:ascii="Arial" w:hAnsi="Arial" w:cs="Arial"/>
          <w:sz w:val="20"/>
          <w:szCs w:val="20"/>
        </w:rPr>
      </w:pPr>
      <w:r>
        <w:rPr>
          <w:rFonts w:ascii="Arial" w:hAnsi="Arial" w:cs="Arial"/>
          <w:sz w:val="20"/>
          <w:szCs w:val="20"/>
          <w:lang w:val="nl-NL"/>
        </w:rPr>
        <w:t>e) Phần diện tích sâu trên 500m tiếp theo còn lại: Mức giá bằng 3% mức giá quy định tại điểm a khoản này.</w:t>
      </w:r>
    </w:p>
    <w:p>
      <w:pPr>
        <w:spacing w:after="120"/>
        <w:ind w:firstLine="720"/>
        <w:jc w:val="both"/>
        <w:rPr>
          <w:rFonts w:ascii="Arial" w:hAnsi="Arial" w:cs="Arial"/>
          <w:sz w:val="20"/>
          <w:szCs w:val="20"/>
        </w:rPr>
      </w:pPr>
      <w:r>
        <w:rPr>
          <w:rFonts w:ascii="Arial" w:hAnsi="Arial" w:cs="Arial"/>
          <w:b/>
          <w:bCs/>
          <w:sz w:val="20"/>
          <w:szCs w:val="20"/>
          <w:lang w:val="de-DE"/>
        </w:rPr>
        <w:t>Điều 3</w:t>
      </w:r>
      <w:r>
        <w:rPr>
          <w:rFonts w:ascii="Arial" w:hAnsi="Arial" w:cs="Arial"/>
          <w:sz w:val="20"/>
          <w:szCs w:val="20"/>
          <w:lang w:val="de-DE"/>
        </w:rPr>
        <w:t xml:space="preserve">. </w:t>
      </w:r>
      <w:r>
        <w:rPr>
          <w:rFonts w:ascii="Arial" w:hAnsi="Arial" w:cs="Arial"/>
          <w:b/>
          <w:bCs/>
          <w:sz w:val="20"/>
          <w:szCs w:val="20"/>
          <w:lang w:val="de-DE"/>
        </w:rPr>
        <w:t>Tổ chức thực hiện</w:t>
      </w:r>
    </w:p>
    <w:p>
      <w:pPr>
        <w:spacing w:after="120"/>
        <w:ind w:firstLine="720"/>
        <w:jc w:val="both"/>
        <w:rPr>
          <w:rFonts w:ascii="Arial" w:hAnsi="Arial" w:cs="Arial"/>
          <w:sz w:val="20"/>
          <w:szCs w:val="20"/>
        </w:rPr>
      </w:pPr>
      <w:r>
        <w:rPr>
          <w:rFonts w:ascii="Arial" w:hAnsi="Arial" w:cs="Arial"/>
          <w:sz w:val="20"/>
          <w:szCs w:val="20"/>
          <w:lang w:val="nl-NL"/>
        </w:rPr>
        <w:t>1. Giao Ủy ban nhân dân tỉnh ban hành bảng giá đất trên địa bàn tỉnh Nghệ An giai đoạn từ ngày 01 tháng 01 năm 2020 đến ngày 31 tháng 12 năm 2024.</w:t>
      </w:r>
    </w:p>
    <w:p>
      <w:pPr>
        <w:spacing w:after="120"/>
        <w:ind w:firstLine="720"/>
        <w:jc w:val="both"/>
        <w:rPr>
          <w:rFonts w:ascii="Arial" w:hAnsi="Arial" w:cs="Arial"/>
          <w:sz w:val="20"/>
          <w:szCs w:val="20"/>
        </w:rPr>
      </w:pPr>
      <w:r>
        <w:rPr>
          <w:rFonts w:ascii="Arial" w:hAnsi="Arial" w:cs="Arial"/>
          <w:sz w:val="20"/>
          <w:szCs w:val="20"/>
          <w:lang w:val="nl-NL"/>
        </w:rPr>
        <w:t>2. Thường trực Hội đồng nhân dân tỉnh, các Ban Hội đồng nhân dân tỉnh và đại biểu Hội đồng nhân dân tỉnh giám sát việc thực hiện Nghị quyết này.</w:t>
      </w:r>
    </w:p>
    <w:p>
      <w:pPr>
        <w:spacing w:after="120"/>
        <w:ind w:firstLine="720"/>
        <w:jc w:val="both"/>
        <w:rPr>
          <w:rFonts w:ascii="Arial" w:hAnsi="Arial" w:cs="Arial"/>
          <w:sz w:val="20"/>
          <w:szCs w:val="20"/>
        </w:rPr>
      </w:pPr>
      <w:r>
        <w:rPr>
          <w:rFonts w:ascii="Arial" w:hAnsi="Arial" w:cs="Arial"/>
          <w:b/>
          <w:bCs/>
          <w:sz w:val="20"/>
          <w:szCs w:val="20"/>
          <w:lang w:val="de-DE"/>
        </w:rPr>
        <w:t>Điều 4. Hiệu lực thi hành</w:t>
      </w:r>
    </w:p>
    <w:p>
      <w:pPr>
        <w:ind w:firstLine="720"/>
        <w:jc w:val="both"/>
        <w:rPr>
          <w:rFonts w:ascii="Arial" w:hAnsi="Arial" w:cs="Arial"/>
          <w:sz w:val="20"/>
          <w:szCs w:val="20"/>
        </w:rPr>
      </w:pPr>
      <w:r>
        <w:rPr>
          <w:rFonts w:ascii="Arial" w:hAnsi="Arial" w:cs="Arial"/>
          <w:sz w:val="20"/>
          <w:szCs w:val="20"/>
          <w:lang w:val="de-DE"/>
        </w:rPr>
        <w:t>Nghị quyết này đã được HĐND tỉnh khoá XVII, kỳ họp thứ 12 thông qua ngày 12 tháng 12 năm 2019 và có hiệu lực kể từ ngày 01 tháng 01 năm 2020./.</w:t>
      </w:r>
    </w:p>
    <w:p>
      <w:pPr>
        <w:ind w:firstLine="720"/>
        <w:jc w:val="both"/>
        <w:rPr>
          <w:rFonts w:ascii="Arial" w:hAnsi="Arial" w:cs="Arial"/>
          <w:sz w:val="20"/>
          <w:szCs w:val="20"/>
        </w:rPr>
      </w:pPr>
      <w:r>
        <w:rPr>
          <w:rFonts w:ascii="Arial" w:hAnsi="Arial" w:cs="Arial"/>
          <w:sz w:val="20"/>
          <w:szCs w:val="20"/>
          <w:lang w:val="de-DE"/>
        </w:rPr>
        <w:t> </w:t>
      </w:r>
    </w:p>
    <w:tbl>
      <w:tblPr>
        <w:tblStyle w:val="5"/>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590"/>
        <w:gridCol w:w="44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170" w:hRule="atLeast"/>
        </w:trPr>
        <w:tc>
          <w:tcPr>
            <w:tcW w:w="4590" w:type="dxa"/>
            <w:tcBorders>
              <w:top w:val="nil"/>
              <w:left w:val="nil"/>
              <w:bottom w:val="nil"/>
              <w:right w:val="nil"/>
            </w:tcBorders>
            <w:shd w:val="clear" w:color="auto" w:fill="auto"/>
            <w:noWrap w:val="0"/>
            <w:tcMar>
              <w:top w:w="0" w:type="dxa"/>
              <w:left w:w="108" w:type="dxa"/>
              <w:bottom w:w="0" w:type="dxa"/>
              <w:right w:w="108" w:type="dxa"/>
            </w:tcMar>
            <w:vAlign w:val="top"/>
          </w:tcPr>
          <w:p>
            <w:pPr>
              <w:jc w:val="both"/>
              <w:rPr>
                <w:rFonts w:ascii="Arial" w:hAnsi="Arial" w:cs="Arial"/>
                <w:b/>
                <w:bCs/>
                <w:sz w:val="20"/>
                <w:szCs w:val="20"/>
              </w:rPr>
            </w:pPr>
            <w:r>
              <w:rPr>
                <w:rFonts w:ascii="Arial" w:hAnsi="Arial" w:cs="Arial"/>
                <w:b/>
                <w:bCs/>
                <w:sz w:val="20"/>
                <w:szCs w:val="20"/>
              </w:rPr>
              <w:t> Nơi nhận:</w:t>
            </w:r>
          </w:p>
          <w:p>
            <w:pPr>
              <w:jc w:val="both"/>
              <w:rPr>
                <w:rFonts w:ascii="Arial" w:hAnsi="Arial" w:cs="Arial"/>
                <w:bCs/>
                <w:sz w:val="20"/>
                <w:szCs w:val="20"/>
              </w:rPr>
            </w:pPr>
            <w:r>
              <w:rPr>
                <w:rFonts w:ascii="Arial" w:hAnsi="Arial" w:cs="Arial"/>
                <w:bCs/>
                <w:sz w:val="20"/>
                <w:szCs w:val="20"/>
              </w:rPr>
              <w:t xml:space="preserve">- Ủy ban Thường vụ Quốc hội, Chính phủ (để báo cáo); </w:t>
            </w:r>
          </w:p>
          <w:p>
            <w:pPr>
              <w:jc w:val="both"/>
              <w:rPr>
                <w:rFonts w:ascii="Arial" w:hAnsi="Arial" w:cs="Arial"/>
                <w:bCs/>
                <w:sz w:val="20"/>
                <w:szCs w:val="20"/>
              </w:rPr>
            </w:pPr>
            <w:r>
              <w:rPr>
                <w:rFonts w:ascii="Arial" w:hAnsi="Arial" w:cs="Arial"/>
                <w:bCs/>
                <w:sz w:val="20"/>
                <w:szCs w:val="20"/>
              </w:rPr>
              <w:t>- Bộ Tài nguyên và Môi trường, Tài chính (để báo cáo);</w:t>
            </w:r>
          </w:p>
          <w:p>
            <w:pPr>
              <w:jc w:val="both"/>
              <w:rPr>
                <w:rFonts w:ascii="Arial" w:hAnsi="Arial" w:cs="Arial"/>
                <w:bCs/>
                <w:sz w:val="20"/>
                <w:szCs w:val="20"/>
              </w:rPr>
            </w:pPr>
            <w:r>
              <w:rPr>
                <w:rFonts w:ascii="Arial" w:hAnsi="Arial" w:cs="Arial"/>
                <w:bCs/>
                <w:sz w:val="20"/>
                <w:szCs w:val="20"/>
              </w:rPr>
              <w:t>- Cục Kiểm tra văn bản QPPL – Bộ Tư pháp (để kiểm tra);</w:t>
            </w:r>
          </w:p>
          <w:p>
            <w:pPr>
              <w:jc w:val="both"/>
              <w:rPr>
                <w:rFonts w:ascii="Arial" w:hAnsi="Arial" w:cs="Arial"/>
                <w:bCs/>
                <w:sz w:val="20"/>
                <w:szCs w:val="20"/>
              </w:rPr>
            </w:pPr>
            <w:r>
              <w:rPr>
                <w:rFonts w:ascii="Arial" w:hAnsi="Arial" w:cs="Arial"/>
                <w:bCs/>
                <w:sz w:val="20"/>
                <w:szCs w:val="20"/>
              </w:rPr>
              <w:t>- TT. Tỉnh ủy, HĐND, UBND, UBMTTQ tỉnh;</w:t>
            </w:r>
          </w:p>
          <w:p>
            <w:pPr>
              <w:jc w:val="both"/>
              <w:rPr>
                <w:rFonts w:ascii="Arial" w:hAnsi="Arial" w:cs="Arial"/>
                <w:bCs/>
                <w:sz w:val="20"/>
                <w:szCs w:val="20"/>
              </w:rPr>
            </w:pPr>
            <w:r>
              <w:rPr>
                <w:rFonts w:ascii="Arial" w:hAnsi="Arial" w:cs="Arial"/>
                <w:bCs/>
                <w:sz w:val="20"/>
                <w:szCs w:val="20"/>
              </w:rPr>
              <w:t>- Đoàn ĐBQH tỉnh;</w:t>
            </w:r>
          </w:p>
          <w:p>
            <w:pPr>
              <w:jc w:val="both"/>
              <w:rPr>
                <w:rFonts w:ascii="Arial" w:hAnsi="Arial" w:cs="Arial"/>
                <w:bCs/>
                <w:sz w:val="20"/>
                <w:szCs w:val="20"/>
              </w:rPr>
            </w:pPr>
            <w:r>
              <w:rPr>
                <w:rFonts w:ascii="Arial" w:hAnsi="Arial" w:cs="Arial"/>
                <w:bCs/>
                <w:sz w:val="20"/>
                <w:szCs w:val="20"/>
              </w:rPr>
              <w:t>- Đại biểu HĐND tỉnh;</w:t>
            </w:r>
          </w:p>
          <w:p>
            <w:pPr>
              <w:jc w:val="both"/>
              <w:rPr>
                <w:rFonts w:ascii="Arial" w:hAnsi="Arial" w:cs="Arial"/>
                <w:bCs/>
                <w:sz w:val="20"/>
                <w:szCs w:val="20"/>
              </w:rPr>
            </w:pPr>
            <w:r>
              <w:rPr>
                <w:rFonts w:ascii="Arial" w:hAnsi="Arial" w:cs="Arial"/>
                <w:bCs/>
                <w:sz w:val="20"/>
                <w:szCs w:val="20"/>
              </w:rPr>
              <w:t>- Tòa án nhân dân tỉnh, Viện kiểm sát nhân dân tỉnh, Cục thi hành án hình sự;</w:t>
            </w:r>
          </w:p>
          <w:p>
            <w:pPr>
              <w:jc w:val="both"/>
              <w:rPr>
                <w:rFonts w:ascii="Arial" w:hAnsi="Arial" w:cs="Arial"/>
                <w:bCs/>
                <w:sz w:val="20"/>
                <w:szCs w:val="20"/>
              </w:rPr>
            </w:pPr>
            <w:r>
              <w:rPr>
                <w:rFonts w:ascii="Arial" w:hAnsi="Arial" w:cs="Arial"/>
                <w:bCs/>
                <w:sz w:val="20"/>
                <w:szCs w:val="20"/>
              </w:rPr>
              <w:t>- Các Sở ban, ngành, đoàn thể cấp tỉnh;</w:t>
            </w:r>
          </w:p>
          <w:p>
            <w:pPr>
              <w:jc w:val="both"/>
              <w:rPr>
                <w:rFonts w:ascii="Arial" w:hAnsi="Arial" w:cs="Arial"/>
                <w:bCs/>
                <w:sz w:val="20"/>
                <w:szCs w:val="20"/>
              </w:rPr>
            </w:pPr>
            <w:r>
              <w:rPr>
                <w:rFonts w:ascii="Arial" w:hAnsi="Arial" w:cs="Arial"/>
                <w:bCs/>
                <w:sz w:val="20"/>
                <w:szCs w:val="20"/>
              </w:rPr>
              <w:t>- HĐND, UBND các huyện, thị xã, thành phố;</w:t>
            </w:r>
          </w:p>
          <w:p>
            <w:pPr>
              <w:jc w:val="both"/>
              <w:rPr>
                <w:rFonts w:ascii="Arial" w:hAnsi="Arial" w:cs="Arial"/>
                <w:bCs/>
                <w:sz w:val="20"/>
                <w:szCs w:val="20"/>
              </w:rPr>
            </w:pPr>
            <w:r>
              <w:rPr>
                <w:rFonts w:ascii="Arial" w:hAnsi="Arial" w:cs="Arial"/>
                <w:bCs/>
                <w:sz w:val="20"/>
                <w:szCs w:val="20"/>
              </w:rPr>
              <w:t>- Trung tâm Công báo tỉnh;</w:t>
            </w:r>
          </w:p>
          <w:p>
            <w:pPr>
              <w:jc w:val="both"/>
              <w:rPr>
                <w:rFonts w:ascii="Arial" w:hAnsi="Arial" w:cs="Arial"/>
                <w:bCs/>
                <w:sz w:val="20"/>
                <w:szCs w:val="20"/>
              </w:rPr>
            </w:pPr>
            <w:r>
              <w:rPr>
                <w:rFonts w:ascii="Arial" w:hAnsi="Arial" w:cs="Arial"/>
                <w:bCs/>
                <w:sz w:val="20"/>
                <w:szCs w:val="20"/>
              </w:rPr>
              <w:t>- Website http://dbndnghean.vn;</w:t>
            </w:r>
          </w:p>
          <w:p>
            <w:pPr>
              <w:jc w:val="both"/>
              <w:rPr>
                <w:rFonts w:ascii="Arial" w:hAnsi="Arial" w:cs="Arial"/>
                <w:sz w:val="20"/>
                <w:szCs w:val="20"/>
              </w:rPr>
            </w:pPr>
            <w:r>
              <w:rPr>
                <w:rFonts w:ascii="Arial" w:hAnsi="Arial" w:cs="Arial"/>
                <w:bCs/>
                <w:sz w:val="20"/>
                <w:szCs w:val="20"/>
              </w:rPr>
              <w:t>- Lưu: VT</w:t>
            </w:r>
          </w:p>
        </w:tc>
        <w:tc>
          <w:tcPr>
            <w:tcW w:w="4415" w:type="dxa"/>
            <w:tcBorders>
              <w:top w:val="nil"/>
              <w:left w:val="nil"/>
              <w:bottom w:val="nil"/>
              <w:right w:val="nil"/>
            </w:tcBorders>
            <w:shd w:val="clear" w:color="auto" w:fill="auto"/>
            <w:noWrap w:val="0"/>
            <w:tcMar>
              <w:top w:w="0" w:type="dxa"/>
              <w:left w:w="108" w:type="dxa"/>
              <w:bottom w:w="0" w:type="dxa"/>
              <w:right w:w="108" w:type="dxa"/>
            </w:tcMar>
            <w:vAlign w:val="top"/>
          </w:tcPr>
          <w:p>
            <w:pPr>
              <w:jc w:val="center"/>
              <w:rPr>
                <w:rFonts w:ascii="Arial" w:hAnsi="Arial" w:cs="Arial"/>
                <w:b/>
                <w:bCs/>
                <w:sz w:val="20"/>
                <w:szCs w:val="20"/>
                <w:lang w:val="de-DE"/>
              </w:rPr>
            </w:pPr>
            <w:r>
              <w:rPr>
                <w:rFonts w:ascii="Arial" w:hAnsi="Arial" w:cs="Arial"/>
                <w:b/>
                <w:bCs/>
                <w:sz w:val="20"/>
                <w:szCs w:val="20"/>
                <w:lang w:val="de-DE"/>
              </w:rPr>
              <w:t>CHỦ TỊCH</w:t>
            </w:r>
            <w:r>
              <w:rPr>
                <w:rFonts w:ascii="Arial" w:hAnsi="Arial" w:cs="Arial"/>
                <w:b/>
                <w:bCs/>
                <w:sz w:val="20"/>
                <w:szCs w:val="20"/>
                <w:lang w:val="de-DE"/>
              </w:rPr>
              <w:br w:type="textWrapping"/>
            </w:r>
            <w:r>
              <w:rPr>
                <w:rFonts w:ascii="Arial" w:hAnsi="Arial" w:cs="Arial"/>
                <w:b/>
                <w:bCs/>
                <w:sz w:val="20"/>
                <w:szCs w:val="20"/>
                <w:lang w:val="de-DE"/>
              </w:rPr>
              <w:br w:type="textWrapping"/>
            </w:r>
            <w:r>
              <w:rPr>
                <w:rFonts w:ascii="Arial" w:hAnsi="Arial" w:cs="Arial"/>
                <w:b/>
                <w:bCs/>
                <w:sz w:val="20"/>
                <w:szCs w:val="20"/>
                <w:lang w:val="de-DE"/>
              </w:rPr>
              <w:br w:type="textWrapping"/>
            </w:r>
          </w:p>
          <w:p>
            <w:pPr>
              <w:jc w:val="center"/>
              <w:rPr>
                <w:rFonts w:ascii="Arial" w:hAnsi="Arial" w:cs="Arial"/>
                <w:b/>
                <w:bCs/>
                <w:sz w:val="20"/>
                <w:szCs w:val="20"/>
                <w:lang w:val="de-DE"/>
              </w:rPr>
            </w:pPr>
          </w:p>
          <w:p>
            <w:pPr>
              <w:jc w:val="center"/>
              <w:rPr>
                <w:rFonts w:ascii="Arial" w:hAnsi="Arial" w:cs="Arial"/>
                <w:b/>
                <w:bCs/>
                <w:sz w:val="20"/>
                <w:szCs w:val="20"/>
                <w:lang w:val="de-DE"/>
              </w:rPr>
            </w:pPr>
          </w:p>
          <w:p>
            <w:pPr>
              <w:jc w:val="center"/>
              <w:rPr>
                <w:rFonts w:ascii="Arial" w:hAnsi="Arial" w:cs="Arial"/>
                <w:b/>
                <w:bCs/>
                <w:sz w:val="20"/>
                <w:szCs w:val="20"/>
                <w:lang w:val="de-DE"/>
              </w:rPr>
            </w:pPr>
          </w:p>
          <w:p>
            <w:pPr>
              <w:jc w:val="center"/>
              <w:rPr>
                <w:rFonts w:ascii="Arial" w:hAnsi="Arial" w:cs="Arial"/>
                <w:sz w:val="20"/>
                <w:szCs w:val="20"/>
              </w:rPr>
            </w:pPr>
            <w:r>
              <w:rPr>
                <w:rFonts w:ascii="Arial" w:hAnsi="Arial" w:cs="Arial"/>
                <w:b/>
                <w:bCs/>
                <w:sz w:val="20"/>
                <w:szCs w:val="20"/>
                <w:lang w:val="de-DE"/>
              </w:rPr>
              <w:br w:type="textWrapping"/>
            </w:r>
            <w:r>
              <w:rPr>
                <w:rFonts w:ascii="Arial" w:hAnsi="Arial" w:cs="Arial"/>
                <w:b/>
                <w:bCs/>
                <w:sz w:val="20"/>
                <w:szCs w:val="20"/>
                <w:lang w:val="de-DE"/>
              </w:rPr>
              <w:br w:type="textWrapping"/>
            </w:r>
            <w:r>
              <w:rPr>
                <w:rFonts w:ascii="Arial" w:hAnsi="Arial" w:cs="Arial"/>
                <w:b/>
                <w:bCs/>
                <w:sz w:val="20"/>
                <w:szCs w:val="20"/>
                <w:lang w:val="de-DE"/>
              </w:rPr>
              <w:t>Nguyễn Xuân Sơn</w:t>
            </w:r>
          </w:p>
        </w:tc>
      </w:tr>
    </w:tbl>
    <w:p>
      <w:pPr>
        <w:spacing w:after="120"/>
        <w:ind w:firstLine="720"/>
        <w:jc w:val="both"/>
        <w:rPr>
          <w:rFonts w:ascii="Arial" w:hAnsi="Arial" w:cs="Arial"/>
          <w:sz w:val="20"/>
          <w:szCs w:val="20"/>
        </w:rPr>
      </w:pPr>
      <w:r>
        <w:rPr>
          <w:rFonts w:ascii="Arial" w:hAnsi="Arial" w:cs="Arial"/>
          <w:sz w:val="20"/>
          <w:szCs w:val="20"/>
          <w:lang w:val="de-DE"/>
        </w:rPr>
        <w:t> </w:t>
      </w:r>
    </w:p>
    <w:p>
      <w:pPr>
        <w:spacing w:after="120"/>
        <w:ind w:firstLine="720"/>
        <w:jc w:val="both"/>
        <w:rPr>
          <w:rFonts w:ascii="Arial" w:hAnsi="Arial" w:cs="Arial"/>
          <w:sz w:val="20"/>
          <w:szCs w:val="20"/>
        </w:rPr>
      </w:pPr>
      <w:r>
        <w:rPr>
          <w:rFonts w:ascii="Arial" w:hAnsi="Arial" w:cs="Arial"/>
          <w:sz w:val="20"/>
          <w:szCs w:val="20"/>
          <w:lang w:val="de-DE"/>
        </w:rPr>
        <w:t> </w:t>
      </w:r>
    </w:p>
    <w:sectPr>
      <w:pgSz w:w="11906" w:h="16838"/>
      <w:pgMar w:top="1440" w:right="1440" w:bottom="1440" w:left="1440" w:header="0" w:footer="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hyphenationZone w:val="360"/>
  <w:displayHorizontalDrawingGridEvery w:val="1"/>
  <w:displayVerticalDrawingGridEvery w:val="1"/>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7A2"/>
    <w:rsid w:val="0022001D"/>
    <w:rsid w:val="004507BB"/>
    <w:rsid w:val="004D188C"/>
    <w:rsid w:val="005667A2"/>
    <w:rsid w:val="00935C6D"/>
    <w:rsid w:val="00B20093"/>
    <w:rsid w:val="00B95CBE"/>
    <w:rsid w:val="00D87272"/>
    <w:rsid w:val="00EA4E99"/>
    <w:rsid w:val="00F74A92"/>
    <w:rsid w:val="332A18A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name="heading 2"/>
    <w:lsdException w:qFormat="1" w:uiPriority="99" w:name="heading 3"/>
    <w:lsdException w:qFormat="1" w:uiPriority="99" w:name="heading 4"/>
    <w:lsdException w:qFormat="1" w:uiPriority="99" w:name="heading 5"/>
    <w:lsdException w:qFormat="1" w:uiPriority="99" w:name="heading 6"/>
    <w:lsdException w:qFormat="1" w:uiPriority="99" w:name="heading 7"/>
    <w:lsdException w:qFormat="1" w:uiPriority="99" w:name="heading 8"/>
    <w:lsdException w:qFormat="1"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qFormat/>
    <w:uiPriority w:val="0"/>
    <w:rPr>
      <w:sz w:val="24"/>
      <w:szCs w:val="24"/>
      <w:lang w:val="en-US" w:eastAsia="en-US" w:bidi="ar-SA"/>
    </w:rPr>
  </w:style>
  <w:style w:type="character" w:default="1" w:styleId="4">
    <w:name w:val="Default Paragraph Font"/>
    <w:semiHidden/>
    <w:uiPriority w:val="0"/>
  </w:style>
  <w:style w:type="table" w:default="1" w:styleId="5">
    <w:name w:val="Normal Table"/>
    <w:semiHidden/>
    <w:unhideWhenUsed/>
    <w:uiPriority w:val="99"/>
    <w:tblPr>
      <w:tblStyle w:val="5"/>
      <w:tblCellMar>
        <w:top w:w="0" w:type="dxa"/>
        <w:left w:w="108" w:type="dxa"/>
        <w:bottom w:w="0" w:type="dxa"/>
        <w:right w:w="108" w:type="dxa"/>
      </w:tblCellMar>
    </w:tblPr>
    <w:trPr>
      <w:wBefore w:w="0" w:type="dxa"/>
    </w:trPr>
  </w:style>
  <w:style w:type="paragraph" w:styleId="2">
    <w:name w:val="footer"/>
    <w:basedOn w:val="1"/>
    <w:link w:val="7"/>
    <w:unhideWhenUsed/>
    <w:uiPriority w:val="99"/>
    <w:pPr>
      <w:tabs>
        <w:tab w:val="center" w:pos="4680"/>
        <w:tab w:val="right" w:pos="9360"/>
      </w:tabs>
    </w:pPr>
  </w:style>
  <w:style w:type="paragraph" w:styleId="3">
    <w:name w:val="header"/>
    <w:basedOn w:val="1"/>
    <w:link w:val="6"/>
    <w:unhideWhenUsed/>
    <w:uiPriority w:val="99"/>
    <w:pPr>
      <w:tabs>
        <w:tab w:val="center" w:pos="4680"/>
        <w:tab w:val="right" w:pos="9360"/>
      </w:tabs>
    </w:pPr>
  </w:style>
  <w:style w:type="character" w:customStyle="1" w:styleId="6">
    <w:name w:val="Header Char"/>
    <w:link w:val="3"/>
    <w:uiPriority w:val="99"/>
    <w:rPr>
      <w:sz w:val="24"/>
      <w:szCs w:val="24"/>
    </w:rPr>
  </w:style>
  <w:style w:type="character" w:customStyle="1" w:styleId="7">
    <w:name w:val="Footer Char"/>
    <w:link w:val="2"/>
    <w:uiPriority w:val="99"/>
    <w:rPr>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850</Words>
  <Characters>4851</Characters>
  <Lines>40</Lines>
  <Paragraphs>11</Paragraphs>
  <TotalTime>0</TotalTime>
  <ScaleCrop>false</ScaleCrop>
  <LinksUpToDate>false</LinksUpToDate>
  <CharactersWithSpaces>5690</CharactersWithSpaces>
  <Application>WPS Office_11.2.0.9718_F1E327BC-269C-435d-A152-05C5408002CA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2020-06-08T02:19:00Z</dcterms:created>
  <dc:creator>Windows User</dc:creator>
  <cp:lastModifiedBy>idollawkun</cp:lastModifiedBy>
  <dcterms:modified xsi:type="dcterms:W3CDTF">2020-10-26T08:35:40Z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