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Layout w:type="autofit"/>
        <w:tblCellMar>
          <w:top w:w="0" w:type="dxa"/>
          <w:left w:w="108" w:type="dxa"/>
          <w:bottom w:w="0" w:type="dxa"/>
          <w:right w:w="108" w:type="dxa"/>
        </w:tblCellMar>
      </w:tblPr>
      <w:tblGrid>
        <w:gridCol w:w="3348"/>
        <w:gridCol w:w="5635"/>
      </w:tblGrid>
      <w:tr>
        <w:tblPrEx>
          <w:tblCellMar>
            <w:top w:w="0" w:type="dxa"/>
            <w:left w:w="108" w:type="dxa"/>
            <w:bottom w:w="0" w:type="dxa"/>
            <w:right w:w="108" w:type="dxa"/>
          </w:tblCellMar>
        </w:tblPrEx>
        <w:trPr>
          <w:wBefore w:w="0" w:type="dxa"/>
          <w:wAfter w:w="0" w:type="dxa"/>
          <w:jc w:val="center"/>
        </w:trPr>
        <w:tc>
          <w:tcPr>
            <w:tcW w:w="3348" w:type="dxa"/>
            <w:noWrap w:val="0"/>
            <w:vAlign w:val="top"/>
          </w:tcPr>
          <w:p>
            <w:pPr>
              <w:jc w:val="center"/>
              <w:rPr>
                <w:rFonts w:ascii="Arial" w:hAnsi="Arial" w:cs="Arial"/>
                <w:b/>
                <w:bCs/>
                <w:sz w:val="20"/>
                <w:szCs w:val="20"/>
              </w:rPr>
            </w:pPr>
            <w:r>
              <w:rPr>
                <w:rFonts w:ascii="Arial" w:hAnsi="Arial" w:cs="Arial"/>
                <w:b/>
                <w:bCs/>
                <w:sz w:val="20"/>
                <w:szCs w:val="20"/>
              </w:rPr>
              <w:t xml:space="preserve">HỘI ĐỒNG NHÂN DÂN </w:t>
            </w:r>
            <w:r>
              <w:rPr>
                <w:rFonts w:ascii="Arial" w:hAnsi="Arial" w:cs="Arial"/>
                <w:b/>
                <w:bCs/>
                <w:sz w:val="20"/>
                <w:szCs w:val="20"/>
              </w:rPr>
              <w:br w:type="textWrapping"/>
            </w:r>
            <w:r>
              <w:rPr>
                <w:rFonts w:ascii="Arial" w:hAnsi="Arial" w:cs="Arial"/>
                <w:b/>
                <w:bCs/>
                <w:sz w:val="20"/>
                <w:szCs w:val="20"/>
              </w:rPr>
              <w:t xml:space="preserve">TỈNH GIA LAI </w:t>
            </w:r>
            <w:r>
              <w:rPr>
                <w:rFonts w:ascii="Arial" w:hAnsi="Arial" w:cs="Arial"/>
                <w:b/>
                <w:bCs/>
                <w:sz w:val="20"/>
                <w:szCs w:val="20"/>
                <w:lang w:val="en-US"/>
              </w:rPr>
              <w:br w:type="textWrapping"/>
            </w:r>
            <w:r>
              <w:rPr>
                <w:rFonts w:ascii="Arial" w:hAnsi="Arial" w:cs="Arial"/>
                <w:b/>
                <w:bCs/>
                <w:sz w:val="20"/>
                <w:szCs w:val="20"/>
                <w:lang w:val="en-US"/>
              </w:rPr>
              <w:t>--------</w:t>
            </w:r>
          </w:p>
        </w:tc>
        <w:tc>
          <w:tcPr>
            <w:tcW w:w="5635" w:type="dxa"/>
            <w:noWrap w:val="0"/>
            <w:vAlign w:val="top"/>
          </w:tcPr>
          <w:p>
            <w:pPr>
              <w:jc w:val="center"/>
              <w:rPr>
                <w:rFonts w:ascii="Arial" w:hAnsi="Arial" w:cs="Arial"/>
                <w:sz w:val="20"/>
                <w:szCs w:val="20"/>
              </w:rPr>
            </w:pPr>
            <w:r>
              <w:rPr>
                <w:rFonts w:ascii="Arial" w:hAnsi="Arial" w:cs="Arial"/>
                <w:b/>
                <w:bCs/>
                <w:sz w:val="20"/>
                <w:szCs w:val="20"/>
              </w:rPr>
              <w:t>CỘNG HÒA XÃ HỘI CHỦ NGHĨA VIỆT NAM</w:t>
            </w:r>
            <w:r>
              <w:rPr>
                <w:rFonts w:ascii="Arial" w:hAnsi="Arial" w:cs="Arial"/>
                <w:b/>
                <w:bCs/>
                <w:sz w:val="20"/>
                <w:szCs w:val="20"/>
              </w:rPr>
              <w:br w:type="textWrapping"/>
            </w:r>
            <w:r>
              <w:rPr>
                <w:rFonts w:ascii="Arial" w:hAnsi="Arial" w:cs="Arial"/>
                <w:b/>
                <w:bCs/>
                <w:sz w:val="20"/>
                <w:szCs w:val="20"/>
              </w:rPr>
              <w:t xml:space="preserve">Độc lập - Tự do - Hạnh phúc </w:t>
            </w:r>
            <w:r>
              <w:rPr>
                <w:rFonts w:ascii="Arial" w:hAnsi="Arial" w:cs="Arial"/>
                <w:b/>
                <w:bCs/>
                <w:sz w:val="20"/>
                <w:szCs w:val="20"/>
              </w:rPr>
              <w:br w:type="textWrapping"/>
            </w:r>
            <w:r>
              <w:rPr>
                <w:rFonts w:ascii="Arial" w:hAnsi="Arial" w:cs="Arial"/>
                <w:b/>
                <w:bCs/>
                <w:sz w:val="20"/>
                <w:szCs w:val="20"/>
              </w:rPr>
              <w:t>---------------</w:t>
            </w:r>
          </w:p>
        </w:tc>
      </w:tr>
      <w:tr>
        <w:tblPrEx>
          <w:tblCellMar>
            <w:top w:w="0" w:type="dxa"/>
            <w:left w:w="108" w:type="dxa"/>
            <w:bottom w:w="0" w:type="dxa"/>
            <w:right w:w="108" w:type="dxa"/>
          </w:tblCellMar>
        </w:tblPrEx>
        <w:trPr>
          <w:wBefore w:w="0" w:type="dxa"/>
          <w:wAfter w:w="0" w:type="dxa"/>
          <w:jc w:val="center"/>
        </w:trPr>
        <w:tc>
          <w:tcPr>
            <w:tcW w:w="3348" w:type="dxa"/>
            <w:noWrap w:val="0"/>
            <w:vAlign w:val="top"/>
          </w:tcPr>
          <w:p>
            <w:pPr>
              <w:jc w:val="center"/>
              <w:rPr>
                <w:rFonts w:ascii="Arial" w:hAnsi="Arial" w:cs="Arial"/>
                <w:b/>
                <w:bCs/>
                <w:sz w:val="20"/>
                <w:szCs w:val="20"/>
              </w:rPr>
            </w:pPr>
            <w:r>
              <w:rPr>
                <w:rFonts w:ascii="Arial" w:hAnsi="Arial" w:cs="Arial"/>
                <w:sz w:val="20"/>
                <w:szCs w:val="20"/>
              </w:rPr>
              <w:t>Số: 201/N</w:t>
            </w:r>
            <w:r>
              <w:rPr>
                <w:rFonts w:ascii="Arial" w:hAnsi="Arial" w:cs="Arial"/>
                <w:sz w:val="20"/>
                <w:szCs w:val="20"/>
                <w:lang w:val="en-US"/>
              </w:rPr>
              <w:t>Q</w:t>
            </w:r>
            <w:r>
              <w:rPr>
                <w:rFonts w:ascii="Arial" w:hAnsi="Arial" w:cs="Arial"/>
                <w:sz w:val="20"/>
                <w:szCs w:val="20"/>
              </w:rPr>
              <w:t>-HĐND</w:t>
            </w:r>
          </w:p>
        </w:tc>
        <w:tc>
          <w:tcPr>
            <w:tcW w:w="5635" w:type="dxa"/>
            <w:noWrap w:val="0"/>
            <w:vAlign w:val="top"/>
          </w:tcPr>
          <w:p>
            <w:pPr>
              <w:jc w:val="right"/>
              <w:rPr>
                <w:rFonts w:ascii="Arial" w:hAnsi="Arial" w:cs="Arial"/>
                <w:i/>
                <w:iCs/>
                <w:sz w:val="20"/>
                <w:szCs w:val="20"/>
                <w:lang w:val="en-US"/>
              </w:rPr>
            </w:pPr>
            <w:r>
              <w:rPr>
                <w:rFonts w:ascii="Arial" w:hAnsi="Arial" w:cs="Arial"/>
                <w:i/>
                <w:iCs/>
                <w:sz w:val="20"/>
                <w:szCs w:val="20"/>
              </w:rPr>
              <w:t xml:space="preserve">Gia Lai, ngày </w:t>
            </w:r>
            <w:r>
              <w:rPr>
                <w:rFonts w:ascii="Arial" w:hAnsi="Arial" w:cs="Arial"/>
                <w:i/>
                <w:iCs/>
                <w:sz w:val="20"/>
                <w:szCs w:val="20"/>
                <w:lang w:val="en-US"/>
              </w:rPr>
              <w:t>11</w:t>
            </w:r>
            <w:r>
              <w:rPr>
                <w:rFonts w:ascii="Arial" w:hAnsi="Arial" w:cs="Arial"/>
                <w:i/>
                <w:iCs/>
                <w:sz w:val="20"/>
                <w:szCs w:val="20"/>
              </w:rPr>
              <w:t xml:space="preserve"> th</w:t>
            </w:r>
            <w:r>
              <w:rPr>
                <w:rFonts w:ascii="Arial" w:hAnsi="Arial" w:cs="Arial"/>
                <w:i/>
                <w:iCs/>
                <w:sz w:val="20"/>
                <w:szCs w:val="20"/>
                <w:lang w:val="en-US"/>
              </w:rPr>
              <w:t>á</w:t>
            </w:r>
            <w:r>
              <w:rPr>
                <w:rFonts w:ascii="Arial" w:hAnsi="Arial" w:cs="Arial"/>
                <w:i/>
                <w:iCs/>
                <w:sz w:val="20"/>
                <w:szCs w:val="20"/>
              </w:rPr>
              <w:t xml:space="preserve">ng </w:t>
            </w:r>
            <w:r>
              <w:rPr>
                <w:rFonts w:ascii="Arial" w:hAnsi="Arial" w:cs="Arial"/>
                <w:i/>
                <w:iCs/>
                <w:sz w:val="20"/>
                <w:szCs w:val="20"/>
                <w:lang w:val="en-US"/>
              </w:rPr>
              <w:t>1</w:t>
            </w:r>
            <w:r>
              <w:rPr>
                <w:rFonts w:ascii="Arial" w:hAnsi="Arial" w:cs="Arial"/>
                <w:i/>
                <w:iCs/>
                <w:sz w:val="20"/>
                <w:szCs w:val="20"/>
              </w:rPr>
              <w:t>2 năm 2019</w:t>
            </w:r>
          </w:p>
        </w:tc>
      </w:tr>
    </w:tbl>
    <w:p>
      <w:pPr>
        <w:rPr>
          <w:rFonts w:ascii="Arial" w:hAnsi="Arial" w:cs="Arial"/>
          <w:sz w:val="20"/>
          <w:szCs w:val="20"/>
          <w:lang w:val="en-US"/>
        </w:rPr>
      </w:pPr>
    </w:p>
    <w:p>
      <w:pPr>
        <w:rPr>
          <w:rFonts w:ascii="Arial" w:hAnsi="Arial" w:cs="Arial"/>
          <w:sz w:val="20"/>
          <w:szCs w:val="20"/>
          <w:lang w:val="en-US"/>
        </w:rPr>
      </w:pPr>
    </w:p>
    <w:p>
      <w:pPr>
        <w:jc w:val="center"/>
        <w:rPr>
          <w:rFonts w:ascii="Arial" w:hAnsi="Arial" w:cs="Arial"/>
          <w:b/>
          <w:bCs/>
          <w:sz w:val="20"/>
          <w:szCs w:val="20"/>
        </w:rPr>
      </w:pPr>
      <w:r>
        <w:rPr>
          <w:rFonts w:ascii="Arial" w:hAnsi="Arial" w:cs="Arial"/>
          <w:b/>
          <w:bCs/>
          <w:sz w:val="20"/>
          <w:szCs w:val="20"/>
        </w:rPr>
        <w:t>NGHỊ QUYẾT</w:t>
      </w:r>
    </w:p>
    <w:p>
      <w:pPr>
        <w:jc w:val="center"/>
        <w:rPr>
          <w:rFonts w:ascii="Arial" w:hAnsi="Arial" w:cs="Arial"/>
          <w:b/>
          <w:sz w:val="20"/>
          <w:szCs w:val="20"/>
        </w:rPr>
      </w:pPr>
      <w:r>
        <w:rPr>
          <w:rFonts w:ascii="Arial" w:hAnsi="Arial" w:cs="Arial"/>
          <w:b/>
          <w:sz w:val="20"/>
          <w:szCs w:val="20"/>
        </w:rPr>
        <w:t>VỀ VIỆC THÔNG QUA BẢNG GIÁ CÁC LOẠI ĐẤT GIAI ĐOẠN 2020 - 2024 CỦA CÁC HUYỆN, THỊ XÃ, THÀNH PHỐ TRÊN ĐỊA BÀN TỈNH GIA LAI</w:t>
      </w:r>
    </w:p>
    <w:p>
      <w:pPr>
        <w:jc w:val="center"/>
        <w:rPr>
          <w:rFonts w:ascii="Arial" w:hAnsi="Arial" w:cs="Arial"/>
          <w:sz w:val="20"/>
          <w:szCs w:val="20"/>
          <w:lang w:val="en-US"/>
        </w:rPr>
      </w:pPr>
      <w:r>
        <w:rPr>
          <w:rFonts w:ascii="Arial" w:hAnsi="Arial" w:cs="Arial"/>
          <w:sz w:val="20"/>
          <w:szCs w:val="20"/>
          <w:lang w:val="en-US"/>
        </w:rPr>
        <w:t>_____________</w:t>
      </w:r>
    </w:p>
    <w:p>
      <w:pPr>
        <w:jc w:val="center"/>
        <w:rPr>
          <w:rFonts w:ascii="Arial" w:hAnsi="Arial" w:cs="Arial"/>
          <w:bCs/>
          <w:sz w:val="20"/>
          <w:szCs w:val="20"/>
        </w:rPr>
      </w:pPr>
      <w:r>
        <w:rPr>
          <w:rFonts w:ascii="Arial" w:hAnsi="Arial" w:cs="Arial"/>
          <w:bCs/>
          <w:sz w:val="20"/>
          <w:szCs w:val="20"/>
        </w:rPr>
        <w:t xml:space="preserve">HỘI ĐỒNG NHÂN DÂN TỈNH GIA LAI </w:t>
      </w:r>
      <w:r>
        <w:rPr>
          <w:rFonts w:ascii="Arial" w:hAnsi="Arial" w:cs="Arial"/>
          <w:bCs/>
          <w:sz w:val="20"/>
          <w:szCs w:val="20"/>
        </w:rPr>
        <w:br w:type="textWrapping"/>
      </w:r>
      <w:r>
        <w:rPr>
          <w:rFonts w:ascii="Arial" w:hAnsi="Arial" w:cs="Arial"/>
          <w:bCs/>
          <w:sz w:val="20"/>
          <w:szCs w:val="20"/>
        </w:rPr>
        <w:t>KHÓA XI - KỲ HỌP THỨ MƯỜI MỘT</w:t>
      </w:r>
    </w:p>
    <w:p>
      <w:pPr>
        <w:jc w:val="center"/>
        <w:rPr>
          <w:rFonts w:ascii="Arial" w:hAnsi="Arial" w:cs="Arial"/>
          <w:b/>
          <w:bCs/>
          <w:sz w:val="20"/>
          <w:szCs w:val="20"/>
        </w:rPr>
      </w:pPr>
    </w:p>
    <w:p>
      <w:pPr>
        <w:spacing w:after="120"/>
        <w:ind w:firstLine="720"/>
        <w:jc w:val="both"/>
        <w:rPr>
          <w:rFonts w:ascii="Arial" w:hAnsi="Arial" w:cs="Arial"/>
          <w:i/>
          <w:iCs/>
          <w:sz w:val="20"/>
          <w:szCs w:val="20"/>
        </w:rPr>
      </w:pPr>
      <w:r>
        <w:rPr>
          <w:rFonts w:ascii="Arial" w:hAnsi="Arial" w:cs="Arial"/>
          <w:i/>
          <w:iCs/>
          <w:sz w:val="20"/>
          <w:szCs w:val="20"/>
        </w:rPr>
        <w:t>Căn cứ Luật Tổ chức chính quyền địa phương năm 2015;</w:t>
      </w:r>
    </w:p>
    <w:p>
      <w:pPr>
        <w:spacing w:after="120"/>
        <w:ind w:firstLine="720"/>
        <w:jc w:val="both"/>
        <w:rPr>
          <w:rFonts w:ascii="Arial" w:hAnsi="Arial" w:cs="Arial"/>
          <w:i/>
          <w:iCs/>
          <w:sz w:val="20"/>
          <w:szCs w:val="20"/>
        </w:rPr>
      </w:pPr>
      <w:r>
        <w:rPr>
          <w:rFonts w:ascii="Arial" w:hAnsi="Arial" w:cs="Arial"/>
          <w:i/>
          <w:iCs/>
          <w:sz w:val="20"/>
          <w:szCs w:val="20"/>
        </w:rPr>
        <w:t>Căn cứ Luật Đất đai năm 2013;</w:t>
      </w:r>
    </w:p>
    <w:p>
      <w:pPr>
        <w:spacing w:after="120"/>
        <w:ind w:firstLine="720"/>
        <w:jc w:val="both"/>
        <w:rPr>
          <w:rFonts w:ascii="Arial" w:hAnsi="Arial" w:cs="Arial"/>
          <w:i/>
          <w:iCs/>
          <w:sz w:val="20"/>
          <w:szCs w:val="20"/>
        </w:rPr>
      </w:pPr>
      <w:r>
        <w:rPr>
          <w:rFonts w:ascii="Arial" w:hAnsi="Arial" w:cs="Arial"/>
          <w:i/>
          <w:iCs/>
          <w:sz w:val="20"/>
          <w:szCs w:val="20"/>
        </w:rPr>
        <w:t>Căn cứ Nghị định số 44/2014/NĐ-CP ngày 15/5/2014 của Chính phủ quy định về giá đất; định giá đất cụ thể và tư vấn xác định giá đất;</w:t>
      </w:r>
    </w:p>
    <w:p>
      <w:pPr>
        <w:spacing w:after="120"/>
        <w:ind w:firstLine="720"/>
        <w:jc w:val="both"/>
        <w:rPr>
          <w:rFonts w:ascii="Arial" w:hAnsi="Arial" w:cs="Arial"/>
          <w:i/>
          <w:iCs/>
          <w:sz w:val="20"/>
          <w:szCs w:val="20"/>
        </w:rPr>
      </w:pPr>
      <w:r>
        <w:rPr>
          <w:rFonts w:ascii="Arial" w:hAnsi="Arial" w:cs="Arial"/>
          <w:i/>
          <w:iCs/>
          <w:sz w:val="20"/>
          <w:szCs w:val="20"/>
        </w:rPr>
        <w:t>Căn cứ Thông tư số 36/2014/TT-BTNMT ngày 30/6/2014 của Bộ trưởng Bộ Tài nguyên và Môi trường, quy định chi tiết phương pháp định giá đất; xây dựng, điều chỉnh bảng giá đất;</w:t>
      </w:r>
    </w:p>
    <w:p>
      <w:pPr>
        <w:spacing w:after="120"/>
        <w:ind w:firstLine="720"/>
        <w:jc w:val="both"/>
        <w:rPr>
          <w:rFonts w:ascii="Arial" w:hAnsi="Arial" w:cs="Arial"/>
          <w:i/>
          <w:iCs/>
          <w:sz w:val="20"/>
          <w:szCs w:val="20"/>
        </w:rPr>
      </w:pPr>
      <w:r>
        <w:rPr>
          <w:rFonts w:ascii="Arial" w:hAnsi="Arial" w:cs="Arial"/>
          <w:i/>
          <w:iCs/>
          <w:sz w:val="20"/>
          <w:szCs w:val="20"/>
        </w:rPr>
        <w:t>Căn cứ Thông tư số 33/2017/TT-BTNMT ngày 20/9/2017 của Bộ trưởng Bộ Tài nguyên và Môi trường quy định chi tiết Nghị định số 01/2017/NĐ-CP ngày 06/01/2017 của Chính phủ sửa đổi, bổ sung một số nghị định quy định chi tiết thi hành Luật Đất đai và sửa đổi, bổ sung một số điều của các thông tư hướng dẫn thi hành Luật Đất đa</w:t>
      </w:r>
      <w:bookmarkStart w:id="1" w:name="_GoBack"/>
      <w:bookmarkEnd w:id="1"/>
      <w:r>
        <w:rPr>
          <w:rFonts w:ascii="Arial" w:hAnsi="Arial" w:cs="Arial"/>
          <w:i/>
          <w:iCs/>
          <w:sz w:val="20"/>
          <w:szCs w:val="20"/>
        </w:rPr>
        <w:t>i;</w:t>
      </w:r>
    </w:p>
    <w:p>
      <w:pPr>
        <w:ind w:firstLine="720"/>
        <w:jc w:val="both"/>
        <w:rPr>
          <w:rFonts w:ascii="Arial" w:hAnsi="Arial" w:cs="Arial"/>
          <w:i/>
          <w:iCs/>
          <w:sz w:val="20"/>
          <w:szCs w:val="20"/>
        </w:rPr>
      </w:pPr>
      <w:r>
        <w:rPr>
          <w:rFonts w:ascii="Arial" w:hAnsi="Arial" w:cs="Arial"/>
          <w:i/>
          <w:iCs/>
          <w:sz w:val="20"/>
          <w:szCs w:val="20"/>
        </w:rPr>
        <w:t>Xét Tờ trình số 2637/TTr-UBND ngày 22/11/2019 của UBND tỉnh xin ý kiến về việc xem xét thông qua bảng giá các loại đất giai đoạn 2020 - 2024 của các huyện, thị xã, thành phố trên địa bàn tỉnh; Báo cáo thẩm tra của Ban Kinh tế - Ngân sách HĐND tỉnh và ý kiến thảo luận của các đại biểu HĐND tỉnh tại Kỳ họp,</w:t>
      </w:r>
    </w:p>
    <w:p>
      <w:pPr>
        <w:rPr>
          <w:rFonts w:ascii="Arial" w:hAnsi="Arial" w:cs="Arial"/>
          <w:i/>
          <w:iCs/>
          <w:sz w:val="20"/>
          <w:szCs w:val="20"/>
        </w:rPr>
      </w:pPr>
    </w:p>
    <w:p>
      <w:pPr>
        <w:jc w:val="center"/>
        <w:rPr>
          <w:rFonts w:ascii="Arial" w:hAnsi="Arial" w:cs="Arial"/>
          <w:b/>
          <w:bCs/>
          <w:sz w:val="20"/>
          <w:szCs w:val="20"/>
        </w:rPr>
      </w:pPr>
      <w:r>
        <w:rPr>
          <w:rFonts w:ascii="Arial" w:hAnsi="Arial" w:cs="Arial"/>
          <w:b/>
          <w:bCs/>
          <w:sz w:val="20"/>
          <w:szCs w:val="20"/>
        </w:rPr>
        <w:t>QUYẾT NGHỊ:</w:t>
      </w:r>
    </w:p>
    <w:p>
      <w:pPr>
        <w:jc w:val="center"/>
        <w:rPr>
          <w:rFonts w:ascii="Arial" w:hAnsi="Arial" w:cs="Arial"/>
          <w:b/>
          <w:bCs/>
          <w:sz w:val="20"/>
          <w:szCs w:val="20"/>
        </w:rPr>
      </w:pPr>
    </w:p>
    <w:p>
      <w:pPr>
        <w:spacing w:after="120"/>
        <w:ind w:firstLine="720"/>
        <w:jc w:val="both"/>
        <w:rPr>
          <w:rFonts w:ascii="Arial" w:hAnsi="Arial" w:cs="Arial"/>
          <w:sz w:val="20"/>
          <w:szCs w:val="20"/>
        </w:rPr>
      </w:pPr>
      <w:r>
        <w:rPr>
          <w:rFonts w:ascii="Arial" w:hAnsi="Arial" w:cs="Arial"/>
          <w:b/>
          <w:bCs/>
          <w:sz w:val="20"/>
          <w:szCs w:val="20"/>
        </w:rPr>
        <w:t>Điều 1.</w:t>
      </w:r>
      <w:r>
        <w:rPr>
          <w:rFonts w:ascii="Arial" w:hAnsi="Arial" w:cs="Arial"/>
          <w:sz w:val="20"/>
          <w:szCs w:val="20"/>
        </w:rPr>
        <w:t xml:space="preserve"> Thông qua bảng giá các loại đất giai đoạn 2020 - 2024 của các huyện, thị xã, thành phố trên địa bàn tỉnh Gia Lai.</w:t>
      </w:r>
    </w:p>
    <w:p>
      <w:pPr>
        <w:spacing w:after="120"/>
        <w:ind w:firstLine="720"/>
        <w:jc w:val="both"/>
        <w:rPr>
          <w:rFonts w:ascii="Arial" w:hAnsi="Arial" w:cs="Arial"/>
          <w:i/>
          <w:iCs/>
          <w:sz w:val="20"/>
          <w:szCs w:val="20"/>
        </w:rPr>
      </w:pPr>
      <w:r>
        <w:rPr>
          <w:rFonts w:ascii="Arial" w:hAnsi="Arial" w:cs="Arial"/>
          <w:i/>
          <w:iCs/>
          <w:sz w:val="20"/>
          <w:szCs w:val="20"/>
        </w:rPr>
        <w:t>(Có bảng giá các loại đất của các huyện, thị xã, thành phố kèm theo).</w:t>
      </w:r>
    </w:p>
    <w:p>
      <w:pPr>
        <w:ind w:firstLine="720"/>
        <w:jc w:val="both"/>
        <w:rPr>
          <w:rFonts w:ascii="Arial" w:hAnsi="Arial" w:cs="Arial"/>
          <w:sz w:val="20"/>
          <w:szCs w:val="20"/>
        </w:rPr>
      </w:pPr>
      <w:r>
        <w:rPr>
          <w:rFonts w:ascii="Arial" w:hAnsi="Arial" w:cs="Arial"/>
          <w:b/>
          <w:bCs/>
          <w:sz w:val="20"/>
          <w:szCs w:val="20"/>
        </w:rPr>
        <w:t xml:space="preserve">Điều 2. </w:t>
      </w:r>
      <w:r>
        <w:rPr>
          <w:rFonts w:ascii="Arial" w:hAnsi="Arial" w:cs="Arial"/>
          <w:sz w:val="20"/>
          <w:szCs w:val="20"/>
        </w:rPr>
        <w:t>Giao UBND tỉnh Gia Lai tổ chức triển khai, thực hiện Nghị quyết này. Nghị quyết này đã được HĐND tỉnh Gia Lai khóa XI, Kỳ họp thứ Mười một thông qua ngày 11/12/2019 và có hiệu lực thi hành kể từ ngày 01/01/2020./.</w:t>
      </w:r>
    </w:p>
    <w:p>
      <w:pPr>
        <w:rPr>
          <w:rFonts w:ascii="Arial" w:hAnsi="Arial" w:cs="Arial"/>
          <w:sz w:val="20"/>
          <w:szCs w:val="20"/>
        </w:rPr>
      </w:pPr>
    </w:p>
    <w:tbl>
      <w:tblPr>
        <w:tblStyle w:val="6"/>
        <w:tblW w:w="0" w:type="auto"/>
        <w:jc w:val="center"/>
        <w:tblLayout w:type="autofit"/>
        <w:tblCellMar>
          <w:top w:w="0" w:type="dxa"/>
          <w:left w:w="108" w:type="dxa"/>
          <w:bottom w:w="0" w:type="dxa"/>
          <w:right w:w="108" w:type="dxa"/>
        </w:tblCellMar>
      </w:tblPr>
      <w:tblGrid>
        <w:gridCol w:w="5176"/>
        <w:gridCol w:w="3807"/>
      </w:tblGrid>
      <w:tr>
        <w:tblPrEx>
          <w:tblCellMar>
            <w:top w:w="0" w:type="dxa"/>
            <w:left w:w="108" w:type="dxa"/>
            <w:bottom w:w="0" w:type="dxa"/>
            <w:right w:w="108" w:type="dxa"/>
          </w:tblCellMar>
        </w:tblPrEx>
        <w:trPr>
          <w:wBefore w:w="0" w:type="dxa"/>
          <w:wAfter w:w="0" w:type="dxa"/>
          <w:jc w:val="center"/>
        </w:trPr>
        <w:tc>
          <w:tcPr>
            <w:tcW w:w="5176" w:type="dxa"/>
            <w:noWrap w:val="0"/>
            <w:vAlign w:val="top"/>
          </w:tcPr>
          <w:p>
            <w:pPr>
              <w:rPr>
                <w:rFonts w:ascii="Arial" w:hAnsi="Arial" w:cs="Arial"/>
                <w:b/>
                <w:bCs/>
                <w:sz w:val="20"/>
                <w:szCs w:val="20"/>
              </w:rPr>
            </w:pPr>
            <w:r>
              <w:rPr>
                <w:rFonts w:ascii="Arial" w:hAnsi="Arial" w:cs="Arial"/>
                <w:b/>
                <w:bCs/>
                <w:i/>
                <w:iCs/>
                <w:sz w:val="20"/>
                <w:szCs w:val="20"/>
              </w:rPr>
              <w:t>Nơi nhận:</w:t>
            </w:r>
            <w:r>
              <w:rPr>
                <w:rFonts w:ascii="Arial" w:hAnsi="Arial" w:cs="Arial"/>
                <w:b/>
                <w:bCs/>
                <w:i/>
                <w:iCs/>
                <w:sz w:val="20"/>
                <w:szCs w:val="20"/>
              </w:rPr>
              <w:br w:type="textWrapping"/>
            </w:r>
            <w:r>
              <w:rPr>
                <w:rFonts w:ascii="Arial" w:hAnsi="Arial" w:cs="Arial"/>
                <w:sz w:val="20"/>
                <w:szCs w:val="20"/>
              </w:rPr>
              <w:t>- Như Điều 2;</w:t>
            </w:r>
            <w:r>
              <w:rPr>
                <w:rFonts w:ascii="Arial" w:hAnsi="Arial" w:cs="Arial"/>
                <w:sz w:val="20"/>
                <w:szCs w:val="20"/>
              </w:rPr>
              <w:br w:type="textWrapping"/>
            </w:r>
            <w:r>
              <w:rPr>
                <w:rFonts w:ascii="Arial" w:hAnsi="Arial" w:cs="Arial"/>
                <w:sz w:val="20"/>
                <w:szCs w:val="20"/>
              </w:rPr>
              <w:t>- Ủy ban TVQH;</w:t>
            </w:r>
            <w:r>
              <w:rPr>
                <w:rFonts w:ascii="Arial" w:hAnsi="Arial" w:cs="Arial"/>
                <w:sz w:val="20"/>
                <w:szCs w:val="20"/>
              </w:rPr>
              <w:br w:type="textWrapping"/>
            </w:r>
            <w:r>
              <w:rPr>
                <w:rFonts w:ascii="Arial" w:hAnsi="Arial" w:cs="Arial"/>
                <w:sz w:val="20"/>
                <w:szCs w:val="20"/>
              </w:rPr>
              <w:t>- VPQH; VPCP;</w:t>
            </w:r>
            <w:r>
              <w:rPr>
                <w:rFonts w:ascii="Arial" w:hAnsi="Arial" w:cs="Arial"/>
                <w:sz w:val="20"/>
                <w:szCs w:val="20"/>
              </w:rPr>
              <w:br w:type="textWrapping"/>
            </w:r>
            <w:r>
              <w:rPr>
                <w:rFonts w:ascii="Arial" w:hAnsi="Arial" w:cs="Arial"/>
                <w:sz w:val="20"/>
                <w:szCs w:val="20"/>
              </w:rPr>
              <w:t>- Bộ Tài nguyên và Môi trường;</w:t>
            </w:r>
            <w:r>
              <w:rPr>
                <w:rFonts w:ascii="Arial" w:hAnsi="Arial" w:cs="Arial"/>
                <w:sz w:val="20"/>
                <w:szCs w:val="20"/>
              </w:rPr>
              <w:br w:type="textWrapping"/>
            </w:r>
            <w:r>
              <w:rPr>
                <w:rFonts w:ascii="Arial" w:hAnsi="Arial" w:cs="Arial"/>
                <w:sz w:val="20"/>
                <w:szCs w:val="20"/>
              </w:rPr>
              <w:t>- TT Tỉnh ủy, HĐND, UBND, UBMTTQ tỉnh;</w:t>
            </w:r>
            <w:r>
              <w:rPr>
                <w:rFonts w:ascii="Arial" w:hAnsi="Arial" w:cs="Arial"/>
                <w:sz w:val="20"/>
                <w:szCs w:val="20"/>
              </w:rPr>
              <w:br w:type="textWrapping"/>
            </w:r>
            <w:r>
              <w:rPr>
                <w:rFonts w:ascii="Arial" w:hAnsi="Arial" w:cs="Arial"/>
                <w:sz w:val="20"/>
                <w:szCs w:val="20"/>
              </w:rPr>
              <w:t>- Đoàn Đại biểu Quốc hội tỉnh;</w:t>
            </w:r>
            <w:r>
              <w:rPr>
                <w:rFonts w:ascii="Arial" w:hAnsi="Arial" w:cs="Arial"/>
                <w:sz w:val="20"/>
                <w:szCs w:val="20"/>
              </w:rPr>
              <w:br w:type="textWrapping"/>
            </w:r>
            <w:r>
              <w:rPr>
                <w:rFonts w:ascii="Arial" w:hAnsi="Arial" w:cs="Arial"/>
                <w:sz w:val="20"/>
                <w:szCs w:val="20"/>
              </w:rPr>
              <w:t>- Các đại biểu HĐND tỉnh;</w:t>
            </w:r>
            <w:r>
              <w:rPr>
                <w:rFonts w:ascii="Arial" w:hAnsi="Arial" w:cs="Arial"/>
                <w:sz w:val="20"/>
                <w:szCs w:val="20"/>
              </w:rPr>
              <w:br w:type="textWrapping"/>
            </w:r>
            <w:r>
              <w:rPr>
                <w:rFonts w:ascii="Arial" w:hAnsi="Arial" w:cs="Arial"/>
                <w:sz w:val="20"/>
                <w:szCs w:val="20"/>
              </w:rPr>
              <w:t>- Các sở, ban, ngành, đoàn thể cấp tỉnh;</w:t>
            </w:r>
            <w:r>
              <w:rPr>
                <w:rFonts w:ascii="Arial" w:hAnsi="Arial" w:cs="Arial"/>
                <w:sz w:val="20"/>
                <w:szCs w:val="20"/>
              </w:rPr>
              <w:br w:type="textWrapping"/>
            </w:r>
            <w:r>
              <w:rPr>
                <w:rFonts w:ascii="Arial" w:hAnsi="Arial" w:cs="Arial"/>
                <w:sz w:val="20"/>
                <w:szCs w:val="20"/>
              </w:rPr>
              <w:t>- Các VP: TU, Đoàn ĐBQH, HĐND, UBND tỉnh;</w:t>
            </w:r>
            <w:r>
              <w:rPr>
                <w:rFonts w:ascii="Arial" w:hAnsi="Arial" w:cs="Arial"/>
                <w:sz w:val="20"/>
                <w:szCs w:val="20"/>
              </w:rPr>
              <w:br w:type="textWrapping"/>
            </w:r>
            <w:r>
              <w:rPr>
                <w:rFonts w:ascii="Arial" w:hAnsi="Arial" w:cs="Arial"/>
                <w:sz w:val="20"/>
                <w:szCs w:val="20"/>
              </w:rPr>
              <w:t>- HĐND, UBND các huyện, thị xã, thành phố;</w:t>
            </w:r>
            <w:r>
              <w:rPr>
                <w:rFonts w:ascii="Arial" w:hAnsi="Arial" w:cs="Arial"/>
                <w:sz w:val="20"/>
                <w:szCs w:val="20"/>
              </w:rPr>
              <w:br w:type="textWrapping"/>
            </w:r>
            <w:r>
              <w:rPr>
                <w:rFonts w:ascii="Arial" w:hAnsi="Arial" w:cs="Arial"/>
                <w:sz w:val="20"/>
                <w:szCs w:val="20"/>
              </w:rPr>
              <w:t>- Website: http://dbnd.gialai.gov.vn;</w:t>
            </w:r>
            <w:r>
              <w:rPr>
                <w:rFonts w:ascii="Arial" w:hAnsi="Arial" w:cs="Arial"/>
                <w:sz w:val="20"/>
                <w:szCs w:val="20"/>
              </w:rPr>
              <w:br w:type="textWrapping"/>
            </w:r>
            <w:r>
              <w:rPr>
                <w:rFonts w:ascii="Arial" w:hAnsi="Arial" w:cs="Arial"/>
                <w:sz w:val="20"/>
                <w:szCs w:val="20"/>
              </w:rPr>
              <w:t>- Báo Gia Lai; Đài PTTH tỉnh;</w:t>
            </w:r>
            <w:r>
              <w:rPr>
                <w:rFonts w:ascii="Arial" w:hAnsi="Arial" w:cs="Arial"/>
                <w:sz w:val="20"/>
                <w:szCs w:val="20"/>
              </w:rPr>
              <w:br w:type="textWrapping"/>
            </w:r>
            <w:r>
              <w:rPr>
                <w:rFonts w:ascii="Arial" w:hAnsi="Arial" w:cs="Arial"/>
                <w:sz w:val="20"/>
                <w:szCs w:val="20"/>
              </w:rPr>
              <w:t>- Lãnh đạo và chuyên viên Phòng Tổng hợp;</w:t>
            </w:r>
            <w:r>
              <w:rPr>
                <w:rFonts w:ascii="Arial" w:hAnsi="Arial" w:cs="Arial"/>
                <w:sz w:val="20"/>
                <w:szCs w:val="20"/>
              </w:rPr>
              <w:br w:type="textWrapping"/>
            </w:r>
            <w:r>
              <w:rPr>
                <w:rFonts w:ascii="Arial" w:hAnsi="Arial" w:cs="Arial"/>
                <w:sz w:val="20"/>
                <w:szCs w:val="20"/>
              </w:rPr>
              <w:t>- Lưu: VT, TH.</w:t>
            </w:r>
          </w:p>
        </w:tc>
        <w:tc>
          <w:tcPr>
            <w:tcW w:w="3807" w:type="dxa"/>
            <w:noWrap w:val="0"/>
            <w:vAlign w:val="top"/>
          </w:tcPr>
          <w:p>
            <w:pPr>
              <w:jc w:val="center"/>
              <w:rPr>
                <w:rFonts w:ascii="Arial" w:hAnsi="Arial" w:cs="Arial"/>
                <w:b/>
                <w:bCs/>
                <w:sz w:val="20"/>
                <w:szCs w:val="20"/>
                <w:lang w:val="en-US"/>
              </w:rPr>
            </w:pPr>
            <w:r>
              <w:rPr>
                <w:rFonts w:ascii="Arial" w:hAnsi="Arial" w:cs="Arial"/>
                <w:b/>
                <w:bCs/>
                <w:sz w:val="20"/>
                <w:szCs w:val="20"/>
                <w:lang w:val="en-US"/>
              </w:rPr>
              <w:t>CHỦ TỊCH</w:t>
            </w:r>
            <w:r>
              <w:rPr>
                <w:rFonts w:ascii="Arial" w:hAnsi="Arial" w:cs="Arial"/>
                <w:b/>
                <w:bCs/>
                <w:sz w:val="20"/>
                <w:szCs w:val="20"/>
                <w:lang w:val="en-US"/>
              </w:rPr>
              <w:br w:type="textWrapping"/>
            </w:r>
            <w:r>
              <w:rPr>
                <w:rFonts w:ascii="Arial" w:hAnsi="Arial" w:cs="Arial"/>
                <w:b/>
                <w:bCs/>
                <w:sz w:val="20"/>
                <w:szCs w:val="20"/>
                <w:lang w:val="en-US"/>
              </w:rPr>
              <w:br w:type="textWrapping"/>
            </w:r>
            <w:r>
              <w:rPr>
                <w:rFonts w:ascii="Arial" w:hAnsi="Arial" w:cs="Arial"/>
                <w:b/>
                <w:bCs/>
                <w:sz w:val="20"/>
                <w:szCs w:val="20"/>
                <w:lang w:val="en-US"/>
              </w:rPr>
              <w:br w:type="textWrapping"/>
            </w:r>
            <w:r>
              <w:rPr>
                <w:rFonts w:ascii="Arial" w:hAnsi="Arial" w:cs="Arial"/>
                <w:b/>
                <w:bCs/>
                <w:sz w:val="20"/>
                <w:szCs w:val="20"/>
                <w:lang w:val="en-US"/>
              </w:rPr>
              <w:br w:type="textWrapping"/>
            </w:r>
            <w:r>
              <w:rPr>
                <w:rFonts w:ascii="Arial" w:hAnsi="Arial" w:cs="Arial"/>
                <w:b/>
                <w:bCs/>
                <w:sz w:val="20"/>
                <w:szCs w:val="20"/>
                <w:lang w:val="en-US"/>
              </w:rPr>
              <w:br w:type="textWrapping"/>
            </w:r>
            <w:r>
              <w:rPr>
                <w:rFonts w:ascii="Arial" w:hAnsi="Arial" w:cs="Arial"/>
                <w:b/>
                <w:bCs/>
                <w:sz w:val="20"/>
                <w:szCs w:val="20"/>
                <w:lang w:val="en-US"/>
              </w:rPr>
              <w:t>Dương Văn Trang</w:t>
            </w:r>
          </w:p>
        </w:tc>
      </w:tr>
    </w:tbl>
    <w:p>
      <w:pPr>
        <w:rPr>
          <w:rFonts w:ascii="Arial" w:hAnsi="Arial" w:cs="Arial"/>
          <w:sz w:val="20"/>
          <w:szCs w:val="20"/>
          <w:lang w:val="en-US"/>
        </w:rPr>
      </w:pPr>
    </w:p>
    <w:tbl>
      <w:tblPr>
        <w:tblStyle w:val="6"/>
        <w:tblW w:w="0" w:type="auto"/>
        <w:jc w:val="center"/>
        <w:tblLayout w:type="autofit"/>
        <w:tblCellMar>
          <w:top w:w="0" w:type="dxa"/>
          <w:left w:w="108" w:type="dxa"/>
          <w:bottom w:w="0" w:type="dxa"/>
          <w:right w:w="108" w:type="dxa"/>
        </w:tblCellMar>
      </w:tblPr>
      <w:tblGrid>
        <w:gridCol w:w="5868"/>
      </w:tblGrid>
      <w:tr>
        <w:tblPrEx>
          <w:tblCellMar>
            <w:top w:w="0" w:type="dxa"/>
            <w:left w:w="108" w:type="dxa"/>
            <w:bottom w:w="0" w:type="dxa"/>
            <w:right w:w="108" w:type="dxa"/>
          </w:tblCellMar>
        </w:tblPrEx>
        <w:trPr>
          <w:wBefore w:w="0" w:type="dxa"/>
          <w:jc w:val="center"/>
        </w:trPr>
        <w:tc>
          <w:tcPr>
            <w:tcW w:w="5868" w:type="dxa"/>
            <w:noWrap w:val="0"/>
            <w:vAlign w:val="top"/>
          </w:tcPr>
          <w:p>
            <w:pPr>
              <w:jc w:val="center"/>
              <w:rPr>
                <w:rFonts w:ascii="Arial" w:hAnsi="Arial" w:cs="Arial"/>
                <w:b/>
                <w:bCs/>
                <w:color w:val="FF0000"/>
                <w:sz w:val="20"/>
                <w:szCs w:val="20"/>
                <w:lang w:val="nb-NO"/>
              </w:rPr>
            </w:pPr>
          </w:p>
          <w:p>
            <w:pPr>
              <w:jc w:val="center"/>
              <w:rPr>
                <w:rFonts w:ascii="Arial" w:hAnsi="Arial" w:cs="Arial"/>
                <w:b/>
                <w:bCs/>
                <w:color w:val="FF0000"/>
                <w:sz w:val="20"/>
                <w:szCs w:val="20"/>
                <w:lang w:val="nb-NO"/>
              </w:rPr>
            </w:pPr>
            <w:bookmarkStart w:id="0" w:name="chuong_pl_1"/>
            <w:r>
              <w:rPr>
                <w:rFonts w:ascii="Arial" w:hAnsi="Arial" w:cs="Arial"/>
                <w:b/>
                <w:bCs/>
                <w:color w:val="FF0000"/>
                <w:sz w:val="20"/>
                <w:szCs w:val="20"/>
                <w:lang w:val="nb-NO"/>
              </w:rPr>
              <w:t>FILE ĐƯỢC ĐÍNH KÈM THEO VĂN BẢN</w:t>
            </w:r>
            <w:bookmarkEnd w:id="0"/>
          </w:p>
          <w:p>
            <w:pPr>
              <w:jc w:val="center"/>
              <w:rPr>
                <w:rFonts w:ascii="Arial" w:hAnsi="Arial" w:cs="Arial"/>
                <w:b/>
                <w:bCs/>
                <w:color w:val="FF0000"/>
                <w:sz w:val="20"/>
                <w:szCs w:val="20"/>
                <w:lang w:val="nb-NO"/>
              </w:rPr>
            </w:pPr>
            <w:r>
              <w:rPr>
                <w:rFonts w:ascii="Arial" w:hAnsi="Arial" w:cs="Arial"/>
                <w:b/>
                <w:bCs/>
                <w:color w:val="FF0000"/>
                <w:sz w:val="20"/>
                <w:szCs w:val="20"/>
                <w:lang w:val="nb-NO"/>
              </w:rPr>
              <w:object>
                <v:shape id="_x0000_i1029" o:spt="75" alt="" type="#_x0000_t75" style="height:31.7pt;width:47.7pt;" o:ole="t" filled="f" o:preferrelative="t" stroked="f" coordsize="21600,21600">
                  <v:path/>
                  <v:fill on="f" focussize="0,0"/>
                  <v:stroke on="f"/>
                  <v:imagedata r:id="rId5" o:title=""/>
                  <o:lock v:ext="edit" aspectratio="t"/>
                  <w10:wrap type="none"/>
                  <w10:anchorlock/>
                </v:shape>
                <o:OLEObject Type="Embed" ProgID="Package" ShapeID="_x0000_i1029" DrawAspect="Content" ObjectID="_1468075725" r:id="rId4">
                  <o:LockedField>false</o:LockedField>
                </o:OLEObject>
              </w:object>
            </w:r>
          </w:p>
        </w:tc>
      </w:tr>
    </w:tbl>
    <w:p>
      <w:pPr>
        <w:rPr>
          <w:rFonts w:ascii="Arial" w:hAnsi="Arial" w:cs="Arial"/>
          <w:sz w:val="20"/>
          <w:szCs w:val="20"/>
          <w:lang w:val="en-US"/>
        </w:rPr>
      </w:pPr>
    </w:p>
    <w:p>
      <w:pPr>
        <w:rPr>
          <w:rFonts w:ascii="Arial" w:hAnsi="Arial" w:cs="Arial"/>
          <w:sz w:val="20"/>
          <w:szCs w:val="20"/>
          <w:lang w:val="en-US"/>
        </w:rPr>
      </w:pPr>
    </w:p>
    <w:sectPr>
      <w:pgSz w:w="11906" w:h="16838"/>
      <w:pgMar w:top="567" w:right="1134" w:bottom="567"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86"/>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Franklin Gothic Heavy">
    <w:altName w:val="Segoe Print"/>
    <w:panose1 w:val="00000000000000000000"/>
    <w:charset w:val="00"/>
    <w:family w:val="swiss"/>
    <w:pitch w:val="default"/>
    <w:sig w:usb0="00000287"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hyphenationZone w:val="360"/>
  <w:doNotHyphenateCaps/>
  <w:drawingGridHorizontalSpacing w:val="120"/>
  <w:drawingGridVerticalSpacing w:val="181"/>
  <w:displayHorizontalDrawingGridEvery w:val="2"/>
  <w:displayVerticalDrawingGridEvery w:val="1"/>
  <w:doNotShadeFormData w:val="1"/>
  <w:characterSpacingControl w:val="compressPunctuation"/>
  <w:doNotValidateAgainstSchema/>
  <w:doNotDemarcateInvalidXml/>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FB1"/>
    <w:rsid w:val="00001190"/>
    <w:rsid w:val="0006003B"/>
    <w:rsid w:val="00293942"/>
    <w:rsid w:val="007B5FB1"/>
    <w:rsid w:val="008A3327"/>
    <w:rsid w:val="00950CB1"/>
    <w:rsid w:val="00996824"/>
    <w:rsid w:val="009A2F0B"/>
    <w:rsid w:val="00A14153"/>
    <w:rsid w:val="00A149CB"/>
    <w:rsid w:val="00C46999"/>
    <w:rsid w:val="00CF6EAE"/>
    <w:rsid w:val="00D66E78"/>
    <w:rsid w:val="00F1456E"/>
    <w:rsid w:val="00FA303D"/>
    <w:rsid w:val="043028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ocked="1"/>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eastAsia="Times New Roman"/>
      <w:color w:val="000000"/>
      <w:sz w:val="24"/>
      <w:szCs w:val="24"/>
      <w:lang w:val="vi-VN" w:eastAsia="vi-VN" w:bidi="ar-SA"/>
    </w:rPr>
  </w:style>
  <w:style w:type="character" w:default="1" w:styleId="4">
    <w:name w:val="Default Paragraph Font"/>
    <w:semiHidden/>
    <w:locked/>
    <w:uiPriority w:val="99"/>
  </w:style>
  <w:style w:type="table" w:default="1" w:styleId="6">
    <w:name w:val="Normal Table"/>
    <w:semiHidden/>
    <w:unhideWhenUsed/>
    <w:qFormat/>
    <w:uiPriority w:val="99"/>
    <w:tblPr>
      <w:tblStyle w:val="6"/>
      <w:tblCellMar>
        <w:top w:w="0" w:type="dxa"/>
        <w:left w:w="108" w:type="dxa"/>
        <w:bottom w:w="0" w:type="dxa"/>
        <w:right w:w="108" w:type="dxa"/>
      </w:tblCellMar>
    </w:tblPr>
    <w:trPr>
      <w:wBefore w:w="0" w:type="dxa"/>
    </w:trPr>
  </w:style>
  <w:style w:type="paragraph" w:styleId="2">
    <w:name w:val="footer"/>
    <w:basedOn w:val="1"/>
    <w:link w:val="33"/>
    <w:unhideWhenUsed/>
    <w:uiPriority w:val="99"/>
    <w:pPr>
      <w:tabs>
        <w:tab w:val="center" w:pos="4680"/>
        <w:tab w:val="right" w:pos="9360"/>
      </w:tabs>
    </w:pPr>
  </w:style>
  <w:style w:type="paragraph" w:styleId="3">
    <w:name w:val="header"/>
    <w:basedOn w:val="1"/>
    <w:link w:val="32"/>
    <w:unhideWhenUsed/>
    <w:uiPriority w:val="99"/>
    <w:pPr>
      <w:tabs>
        <w:tab w:val="center" w:pos="4680"/>
        <w:tab w:val="right" w:pos="9360"/>
      </w:tabs>
    </w:pPr>
  </w:style>
  <w:style w:type="character" w:styleId="5">
    <w:name w:val="Hyperlink"/>
    <w:uiPriority w:val="99"/>
    <w:rPr>
      <w:color w:val="auto"/>
      <w:u w:val="single"/>
    </w:rPr>
  </w:style>
  <w:style w:type="table" w:styleId="7">
    <w:name w:val="Table Grid"/>
    <w:basedOn w:val="6"/>
    <w:uiPriority w:val="99"/>
    <w:pPr>
      <w:spacing w:after="0" w:line="240" w:lineRule="auto"/>
    </w:pPr>
    <w:rPr>
      <w:rFonts w:eastAsia="Times New Roman"/>
      <w:sz w:val="20"/>
      <w:szCs w:val="20"/>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Van b?n n?i dung (2)"/>
    <w:basedOn w:val="1"/>
    <w:link w:val="18"/>
    <w:uiPriority w:val="99"/>
    <w:pPr>
      <w:shd w:val="clear" w:color="auto" w:fill="FFFFFF"/>
      <w:spacing w:after="120" w:line="299" w:lineRule="exact"/>
      <w:ind w:hanging="640"/>
    </w:pPr>
    <w:rPr>
      <w:color w:val="auto"/>
      <w:spacing w:val="16"/>
      <w:sz w:val="21"/>
      <w:szCs w:val="21"/>
      <w:lang w:eastAsia="en-US"/>
    </w:rPr>
  </w:style>
  <w:style w:type="paragraph" w:customStyle="1" w:styleId="9">
    <w:name w:val="Van b?n n?i dung (3)"/>
    <w:basedOn w:val="1"/>
    <w:link w:val="20"/>
    <w:uiPriority w:val="99"/>
    <w:pPr>
      <w:shd w:val="clear" w:color="auto" w:fill="FFFFFF"/>
      <w:spacing w:before="120" w:after="120" w:line="240" w:lineRule="atLeast"/>
      <w:ind w:firstLine="640"/>
      <w:jc w:val="both"/>
    </w:pPr>
    <w:rPr>
      <w:i/>
      <w:iCs/>
      <w:color w:val="auto"/>
      <w:spacing w:val="9"/>
      <w:sz w:val="23"/>
      <w:szCs w:val="23"/>
      <w:lang w:eastAsia="en-US"/>
    </w:rPr>
  </w:style>
  <w:style w:type="paragraph" w:customStyle="1" w:styleId="10">
    <w:name w:val="Van b?n n?i dung (4)"/>
    <w:basedOn w:val="1"/>
    <w:link w:val="22"/>
    <w:uiPriority w:val="99"/>
    <w:pPr>
      <w:shd w:val="clear" w:color="auto" w:fill="FFFFFF"/>
      <w:spacing w:before="120" w:after="120" w:line="240" w:lineRule="atLeast"/>
      <w:jc w:val="center"/>
    </w:pPr>
    <w:rPr>
      <w:b/>
      <w:bCs/>
      <w:color w:val="auto"/>
      <w:spacing w:val="17"/>
      <w:sz w:val="22"/>
      <w:szCs w:val="22"/>
      <w:lang w:eastAsia="en-US"/>
    </w:rPr>
  </w:style>
  <w:style w:type="paragraph" w:customStyle="1" w:styleId="11">
    <w:name w:val="Van b?n n?i dung"/>
    <w:basedOn w:val="1"/>
    <w:link w:val="23"/>
    <w:uiPriority w:val="99"/>
    <w:pPr>
      <w:shd w:val="clear" w:color="auto" w:fill="FFFFFF"/>
      <w:spacing w:line="338" w:lineRule="exact"/>
      <w:ind w:firstLine="640"/>
      <w:jc w:val="both"/>
    </w:pPr>
    <w:rPr>
      <w:color w:val="auto"/>
      <w:spacing w:val="9"/>
      <w:sz w:val="23"/>
      <w:szCs w:val="23"/>
      <w:lang w:eastAsia="en-US"/>
    </w:rPr>
  </w:style>
  <w:style w:type="paragraph" w:customStyle="1" w:styleId="12">
    <w:name w:val="Van b?n n?i dung (5)"/>
    <w:basedOn w:val="1"/>
    <w:link w:val="24"/>
    <w:uiPriority w:val="99"/>
    <w:pPr>
      <w:shd w:val="clear" w:color="auto" w:fill="FFFFFF"/>
      <w:spacing w:before="120" w:after="120" w:line="240" w:lineRule="atLeast"/>
      <w:ind w:firstLine="640"/>
      <w:jc w:val="both"/>
    </w:pPr>
    <w:rPr>
      <w:i/>
      <w:iCs/>
      <w:color w:val="auto"/>
      <w:sz w:val="25"/>
      <w:szCs w:val="25"/>
      <w:lang w:eastAsia="en-US"/>
    </w:rPr>
  </w:style>
  <w:style w:type="paragraph" w:customStyle="1" w:styleId="13">
    <w:name w:val="Van b?n n?i dung (6)"/>
    <w:basedOn w:val="1"/>
    <w:link w:val="25"/>
    <w:uiPriority w:val="99"/>
    <w:pPr>
      <w:shd w:val="clear" w:color="auto" w:fill="FFFFFF"/>
      <w:spacing w:before="300" w:after="120" w:line="240" w:lineRule="atLeast"/>
      <w:jc w:val="both"/>
    </w:pPr>
    <w:rPr>
      <w:b/>
      <w:bCs/>
      <w:i/>
      <w:iCs/>
      <w:color w:val="auto"/>
      <w:spacing w:val="3"/>
      <w:sz w:val="20"/>
      <w:szCs w:val="20"/>
      <w:lang w:eastAsia="en-US"/>
    </w:rPr>
  </w:style>
  <w:style w:type="paragraph" w:customStyle="1" w:styleId="14">
    <w:name w:val="Van b?n n?i dung (7)1"/>
    <w:basedOn w:val="1"/>
    <w:link w:val="26"/>
    <w:uiPriority w:val="99"/>
    <w:pPr>
      <w:shd w:val="clear" w:color="auto" w:fill="FFFFFF"/>
      <w:spacing w:before="120" w:line="238" w:lineRule="exact"/>
      <w:jc w:val="both"/>
    </w:pPr>
    <w:rPr>
      <w:color w:val="auto"/>
      <w:spacing w:val="13"/>
      <w:sz w:val="16"/>
      <w:szCs w:val="16"/>
      <w:lang w:eastAsia="en-US"/>
    </w:rPr>
  </w:style>
  <w:style w:type="paragraph" w:customStyle="1" w:styleId="15">
    <w:name w:val="Van b?n n?i dung (8)"/>
    <w:basedOn w:val="1"/>
    <w:link w:val="29"/>
    <w:uiPriority w:val="99"/>
    <w:pPr>
      <w:shd w:val="clear" w:color="auto" w:fill="FFFFFF"/>
      <w:spacing w:line="238" w:lineRule="exact"/>
      <w:jc w:val="both"/>
    </w:pPr>
    <w:rPr>
      <w:color w:val="auto"/>
      <w:spacing w:val="6"/>
      <w:sz w:val="18"/>
      <w:szCs w:val="18"/>
      <w:lang w:eastAsia="en-US"/>
    </w:rPr>
  </w:style>
  <w:style w:type="paragraph" w:customStyle="1" w:styleId="16">
    <w:name w:val="Chú thích ?nh1"/>
    <w:basedOn w:val="1"/>
    <w:link w:val="30"/>
    <w:uiPriority w:val="99"/>
    <w:pPr>
      <w:shd w:val="clear" w:color="auto" w:fill="FFFFFF"/>
      <w:spacing w:line="240" w:lineRule="atLeast"/>
    </w:pPr>
    <w:rPr>
      <w:rFonts w:ascii="Franklin Gothic Heavy" w:hAnsi="Franklin Gothic Heavy" w:cs="Franklin Gothic Heavy"/>
      <w:i/>
      <w:iCs/>
      <w:color w:val="auto"/>
      <w:spacing w:val="-7"/>
      <w:sz w:val="14"/>
      <w:szCs w:val="14"/>
      <w:lang w:val="fr-FR" w:eastAsia="fr-FR"/>
    </w:rPr>
  </w:style>
  <w:style w:type="paragraph" w:customStyle="1" w:styleId="17">
    <w:name w:val="Char"/>
    <w:basedOn w:val="1"/>
    <w:uiPriority w:val="99"/>
    <w:pPr>
      <w:widowControl/>
      <w:spacing w:after="160" w:line="240" w:lineRule="exact"/>
    </w:pPr>
    <w:rPr>
      <w:rFonts w:ascii="Verdana" w:hAnsi="Verdana" w:cs="Verdana"/>
      <w:color w:val="auto"/>
      <w:sz w:val="20"/>
      <w:szCs w:val="20"/>
      <w:lang w:val="en-US" w:eastAsia="en-US"/>
    </w:rPr>
  </w:style>
  <w:style w:type="character" w:customStyle="1" w:styleId="18">
    <w:name w:val="Van b?n n?i dung (2)_"/>
    <w:link w:val="8"/>
    <w:locked/>
    <w:uiPriority w:val="99"/>
    <w:rPr>
      <w:rFonts w:ascii="Times New Roman" w:hAnsi="Times New Roman" w:cs="Times New Roman"/>
      <w:spacing w:val="16"/>
      <w:sz w:val="21"/>
      <w:szCs w:val="21"/>
      <w:u w:val="none"/>
    </w:rPr>
  </w:style>
  <w:style w:type="character" w:customStyle="1" w:styleId="19">
    <w:name w:val="Van b?n n?i dung (2) + 11 pt"/>
    <w:aliases w:val="In d?m,Giãn cách 0 pt"/>
    <w:uiPriority w:val="99"/>
    <w:rPr>
      <w:rFonts w:ascii="Times New Roman" w:hAnsi="Times New Roman" w:cs="Times New Roman"/>
      <w:b/>
      <w:bCs/>
      <w:spacing w:val="17"/>
      <w:sz w:val="22"/>
      <w:szCs w:val="22"/>
      <w:u w:val="single"/>
    </w:rPr>
  </w:style>
  <w:style w:type="character" w:customStyle="1" w:styleId="20">
    <w:name w:val="Van b?n n?i dung (3)_"/>
    <w:link w:val="9"/>
    <w:locked/>
    <w:uiPriority w:val="99"/>
    <w:rPr>
      <w:rFonts w:ascii="Times New Roman" w:hAnsi="Times New Roman" w:cs="Times New Roman"/>
      <w:i/>
      <w:iCs/>
      <w:spacing w:val="9"/>
      <w:sz w:val="23"/>
      <w:szCs w:val="23"/>
      <w:u w:val="none"/>
    </w:rPr>
  </w:style>
  <w:style w:type="character" w:customStyle="1" w:styleId="21">
    <w:name w:val="Van b?n n?i dung (3) + Không in nghiêng"/>
    <w:aliases w:val="Giãn cách 0 pt2"/>
    <w:uiPriority w:val="99"/>
    <w:rPr>
      <w:rFonts w:ascii="Times New Roman" w:hAnsi="Times New Roman" w:cs="Times New Roman"/>
      <w:i/>
      <w:iCs/>
      <w:spacing w:val="15"/>
      <w:sz w:val="23"/>
      <w:szCs w:val="23"/>
      <w:u w:val="none"/>
    </w:rPr>
  </w:style>
  <w:style w:type="character" w:customStyle="1" w:styleId="22">
    <w:name w:val="Van b?n n?i dung (4)_"/>
    <w:link w:val="10"/>
    <w:locked/>
    <w:uiPriority w:val="99"/>
    <w:rPr>
      <w:rFonts w:ascii="Times New Roman" w:hAnsi="Times New Roman" w:cs="Times New Roman"/>
      <w:b/>
      <w:bCs/>
      <w:spacing w:val="17"/>
      <w:sz w:val="22"/>
      <w:szCs w:val="22"/>
      <w:u w:val="none"/>
    </w:rPr>
  </w:style>
  <w:style w:type="character" w:customStyle="1" w:styleId="23">
    <w:name w:val="Van b?n n?i dung_"/>
    <w:link w:val="11"/>
    <w:locked/>
    <w:uiPriority w:val="99"/>
    <w:rPr>
      <w:rFonts w:ascii="Times New Roman" w:hAnsi="Times New Roman" w:cs="Times New Roman"/>
      <w:spacing w:val="9"/>
      <w:sz w:val="23"/>
      <w:szCs w:val="23"/>
      <w:u w:val="none"/>
    </w:rPr>
  </w:style>
  <w:style w:type="character" w:customStyle="1" w:styleId="24">
    <w:name w:val="Van b?n n?i dung (5)_"/>
    <w:link w:val="12"/>
    <w:locked/>
    <w:uiPriority w:val="99"/>
    <w:rPr>
      <w:rFonts w:ascii="Times New Roman" w:hAnsi="Times New Roman" w:cs="Times New Roman"/>
      <w:i/>
      <w:iCs/>
      <w:sz w:val="25"/>
      <w:szCs w:val="25"/>
      <w:u w:val="none"/>
    </w:rPr>
  </w:style>
  <w:style w:type="character" w:customStyle="1" w:styleId="25">
    <w:name w:val="Van b?n n?i dung (6)_"/>
    <w:link w:val="13"/>
    <w:locked/>
    <w:uiPriority w:val="99"/>
    <w:rPr>
      <w:rFonts w:ascii="Times New Roman" w:hAnsi="Times New Roman" w:cs="Times New Roman"/>
      <w:b/>
      <w:bCs/>
      <w:i/>
      <w:iCs/>
      <w:spacing w:val="3"/>
      <w:sz w:val="20"/>
      <w:szCs w:val="20"/>
      <w:u w:val="none"/>
    </w:rPr>
  </w:style>
  <w:style w:type="character" w:customStyle="1" w:styleId="26">
    <w:name w:val="Van b?n n?i dung (7)_"/>
    <w:link w:val="14"/>
    <w:locked/>
    <w:uiPriority w:val="99"/>
    <w:rPr>
      <w:rFonts w:ascii="Times New Roman" w:hAnsi="Times New Roman" w:cs="Times New Roman"/>
      <w:spacing w:val="13"/>
      <w:sz w:val="16"/>
      <w:szCs w:val="16"/>
      <w:u w:val="none"/>
    </w:rPr>
  </w:style>
  <w:style w:type="character" w:customStyle="1" w:styleId="27">
    <w:name w:val="Van b?n n?i dung (7) + 4 pt"/>
    <w:aliases w:val="In nghiêng,Giãn cách 0 pt1"/>
    <w:uiPriority w:val="99"/>
    <w:rPr>
      <w:rFonts w:ascii="Times New Roman" w:hAnsi="Times New Roman" w:cs="Times New Roman"/>
      <w:i/>
      <w:iCs/>
      <w:spacing w:val="0"/>
      <w:sz w:val="8"/>
      <w:szCs w:val="8"/>
      <w:u w:val="none"/>
      <w:lang/>
    </w:rPr>
  </w:style>
  <w:style w:type="character" w:customStyle="1" w:styleId="28">
    <w:name w:val="Van b?n n?i dung (7)"/>
    <w:uiPriority w:val="99"/>
    <w:rPr>
      <w:rFonts w:ascii="Times New Roman" w:hAnsi="Times New Roman" w:cs="Times New Roman"/>
      <w:spacing w:val="13"/>
      <w:sz w:val="16"/>
      <w:szCs w:val="16"/>
      <w:u w:val="single"/>
      <w:lang w:val="en-US" w:eastAsia="en-US"/>
    </w:rPr>
  </w:style>
  <w:style w:type="character" w:customStyle="1" w:styleId="29">
    <w:name w:val="Van b?n n?i dung (8)_"/>
    <w:link w:val="15"/>
    <w:locked/>
    <w:uiPriority w:val="99"/>
    <w:rPr>
      <w:rFonts w:ascii="Times New Roman" w:hAnsi="Times New Roman" w:cs="Times New Roman"/>
      <w:spacing w:val="6"/>
      <w:sz w:val="18"/>
      <w:szCs w:val="18"/>
      <w:u w:val="none"/>
    </w:rPr>
  </w:style>
  <w:style w:type="character" w:customStyle="1" w:styleId="30">
    <w:name w:val="Chú thích ?nh_"/>
    <w:link w:val="16"/>
    <w:locked/>
    <w:uiPriority w:val="99"/>
    <w:rPr>
      <w:rFonts w:ascii="Franklin Gothic Heavy" w:hAnsi="Franklin Gothic Heavy" w:cs="Franklin Gothic Heavy"/>
      <w:i/>
      <w:iCs/>
      <w:spacing w:val="-7"/>
      <w:sz w:val="14"/>
      <w:szCs w:val="14"/>
      <w:u w:val="none"/>
      <w:lang w:val="fr-FR" w:eastAsia="fr-FR"/>
    </w:rPr>
  </w:style>
  <w:style w:type="character" w:customStyle="1" w:styleId="31">
    <w:name w:val="Chú thích ?nh"/>
    <w:basedOn w:val="30"/>
    <w:uiPriority w:val="99"/>
  </w:style>
  <w:style w:type="character" w:customStyle="1" w:styleId="32">
    <w:name w:val="Header Char"/>
    <w:link w:val="3"/>
    <w:uiPriority w:val="99"/>
    <w:rPr>
      <w:rFonts w:eastAsia="Times New Roman"/>
      <w:color w:val="000000"/>
      <w:sz w:val="24"/>
      <w:szCs w:val="24"/>
      <w:lang w:val="vi-VN" w:eastAsia="vi-VN"/>
    </w:rPr>
  </w:style>
  <w:style w:type="character" w:customStyle="1" w:styleId="33">
    <w:name w:val="Footer Char"/>
    <w:link w:val="2"/>
    <w:uiPriority w:val="99"/>
    <w:rPr>
      <w:rFonts w:eastAsia="Times New Roman"/>
      <w:color w:val="000000"/>
      <w:sz w:val="24"/>
      <w:szCs w:val="24"/>
      <w:lang w:val="vi-VN" w:eastAsia="vi-V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LawSoft</Company>
  <Pages>2</Pages>
  <Words>350</Words>
  <Characters>2000</Characters>
  <Lines>16</Lines>
  <Paragraphs>4</Paragraphs>
  <TotalTime>0</TotalTime>
  <ScaleCrop>false</ScaleCrop>
  <LinksUpToDate>false</LinksUpToDate>
  <CharactersWithSpaces>2346</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2020-06-25T04:30:00Z</dcterms:created>
  <dc:creator>LawSoft</dc:creator>
  <dc:description>www.thuvienphapluat.vn</dc:description>
  <cp:lastModifiedBy>idollawkun</cp:lastModifiedBy>
  <dcterms:modified xsi:type="dcterms:W3CDTF">2020-10-26T08:12:51Z</dcterms:modified>
  <dc:title>THU VI?N PHÁP LU?T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