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jc w:val="center"/>
        <w:tblLayout w:type="autofit"/>
        <w:tblCellMar>
          <w:top w:w="0" w:type="dxa"/>
          <w:left w:w="108" w:type="dxa"/>
          <w:bottom w:w="0" w:type="dxa"/>
          <w:right w:w="108" w:type="dxa"/>
        </w:tblCellMar>
      </w:tblPr>
      <w:tblGrid>
        <w:gridCol w:w="3348"/>
        <w:gridCol w:w="5650"/>
      </w:tblGrid>
      <w:tr>
        <w:tblPrEx>
          <w:tblCellMar>
            <w:top w:w="0" w:type="dxa"/>
            <w:left w:w="108" w:type="dxa"/>
            <w:bottom w:w="0" w:type="dxa"/>
            <w:right w:w="108" w:type="dxa"/>
          </w:tblCellMar>
        </w:tblPrEx>
        <w:trPr>
          <w:wBefore w:w="0" w:type="dxa"/>
          <w:jc w:val="center"/>
        </w:trPr>
        <w:tc>
          <w:tcPr>
            <w:tcW w:w="3348" w:type="dxa"/>
            <w:shd w:val="clear" w:color="auto" w:fill="auto"/>
            <w:noWrap w:val="0"/>
            <w:vAlign w:val="top"/>
          </w:tcPr>
          <w:p>
            <w:pPr>
              <w:jc w:val="center"/>
              <w:rPr>
                <w:rFonts w:ascii="Arial" w:hAnsi="Arial" w:cs="Arial"/>
                <w:b/>
                <w:sz w:val="20"/>
                <w:szCs w:val="20"/>
              </w:rPr>
            </w:pPr>
            <w:r>
              <w:rPr>
                <w:rFonts w:ascii="Arial" w:hAnsi="Arial" w:cs="Arial"/>
                <w:b/>
                <w:sz w:val="20"/>
                <w:szCs w:val="20"/>
              </w:rPr>
              <w:t>HỘI ĐỒNG NHÂN DÂN</w:t>
            </w:r>
            <w:r>
              <w:rPr>
                <w:rFonts w:ascii="Arial" w:hAnsi="Arial" w:cs="Arial"/>
                <w:b/>
                <w:sz w:val="20"/>
                <w:szCs w:val="20"/>
              </w:rPr>
              <w:br w:type="textWrapping"/>
            </w:r>
            <w:r>
              <w:rPr>
                <w:rFonts w:ascii="Arial" w:hAnsi="Arial" w:cs="Arial"/>
                <w:b/>
                <w:sz w:val="20"/>
                <w:szCs w:val="20"/>
              </w:rPr>
              <w:t>TỈNH HẬU GIANG</w:t>
            </w:r>
            <w:r>
              <w:rPr>
                <w:rFonts w:ascii="Arial" w:hAnsi="Arial" w:cs="Arial"/>
                <w:b/>
                <w:sz w:val="20"/>
                <w:szCs w:val="20"/>
              </w:rPr>
              <w:br w:type="textWrapping"/>
            </w:r>
            <w:r>
              <w:rPr>
                <w:rFonts w:ascii="Arial" w:hAnsi="Arial" w:cs="Arial"/>
                <w:sz w:val="20"/>
                <w:szCs w:val="20"/>
              </w:rPr>
              <w:t>--------</w:t>
            </w:r>
          </w:p>
        </w:tc>
        <w:tc>
          <w:tcPr>
            <w:tcW w:w="5650" w:type="dxa"/>
            <w:shd w:val="clear" w:color="auto" w:fill="auto"/>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sz w:val="20"/>
                <w:szCs w:val="20"/>
              </w:rPr>
              <w:t>---------------</w:t>
            </w:r>
          </w:p>
        </w:tc>
      </w:tr>
      <w:tr>
        <w:tblPrEx>
          <w:tblCellMar>
            <w:top w:w="0" w:type="dxa"/>
            <w:left w:w="108" w:type="dxa"/>
            <w:bottom w:w="0" w:type="dxa"/>
            <w:right w:w="108" w:type="dxa"/>
          </w:tblCellMar>
        </w:tblPrEx>
        <w:trPr>
          <w:wBefore w:w="0" w:type="dxa"/>
          <w:jc w:val="center"/>
        </w:trPr>
        <w:tc>
          <w:tcPr>
            <w:tcW w:w="3348" w:type="dxa"/>
            <w:shd w:val="clear" w:color="auto" w:fill="auto"/>
            <w:noWrap w:val="0"/>
            <w:vAlign w:val="center"/>
          </w:tcPr>
          <w:p>
            <w:pPr>
              <w:jc w:val="center"/>
              <w:rPr>
                <w:rFonts w:ascii="Arial" w:hAnsi="Arial" w:cs="Arial"/>
                <w:sz w:val="20"/>
                <w:szCs w:val="20"/>
              </w:rPr>
            </w:pPr>
            <w:r>
              <w:rPr>
                <w:rFonts w:ascii="Arial" w:hAnsi="Arial" w:cs="Arial"/>
                <w:sz w:val="20"/>
                <w:szCs w:val="20"/>
              </w:rPr>
              <w:t>Số: 24/2019/NQ-HĐND</w:t>
            </w:r>
          </w:p>
        </w:tc>
        <w:tc>
          <w:tcPr>
            <w:tcW w:w="5650" w:type="dxa"/>
            <w:shd w:val="clear" w:color="auto" w:fill="auto"/>
            <w:noWrap w:val="0"/>
            <w:vAlign w:val="center"/>
          </w:tcPr>
          <w:p>
            <w:pPr>
              <w:jc w:val="right"/>
              <w:rPr>
                <w:rFonts w:ascii="Arial" w:hAnsi="Arial" w:cs="Arial"/>
                <w:i/>
                <w:sz w:val="20"/>
                <w:szCs w:val="20"/>
              </w:rPr>
            </w:pPr>
            <w:r>
              <w:rPr>
                <w:rFonts w:ascii="Arial" w:hAnsi="Arial" w:cs="Arial"/>
                <w:i/>
                <w:sz w:val="20"/>
                <w:szCs w:val="20"/>
              </w:rPr>
              <w:t>Hậu Giang, ngày 06 tháng 12 năm 2019</w:t>
            </w:r>
          </w:p>
        </w:tc>
      </w:tr>
    </w:tbl>
    <w:p>
      <w:pPr>
        <w:rPr>
          <w:rFonts w:ascii="Arial" w:hAnsi="Arial" w:cs="Arial"/>
          <w:sz w:val="20"/>
          <w:szCs w:val="20"/>
        </w:rPr>
      </w:pPr>
    </w:p>
    <w:p>
      <w:pPr>
        <w:rPr>
          <w:rFonts w:ascii="Arial" w:hAnsi="Arial" w:cs="Arial"/>
          <w:sz w:val="20"/>
          <w:szCs w:val="20"/>
        </w:rPr>
      </w:pPr>
    </w:p>
    <w:p>
      <w:pPr>
        <w:jc w:val="center"/>
        <w:rPr>
          <w:rFonts w:ascii="Arial" w:hAnsi="Arial" w:cs="Arial"/>
          <w:b/>
          <w:sz w:val="20"/>
          <w:szCs w:val="20"/>
        </w:rPr>
      </w:pPr>
      <w:r>
        <w:rPr>
          <w:rFonts w:ascii="Arial" w:hAnsi="Arial" w:cs="Arial"/>
          <w:b/>
          <w:sz w:val="20"/>
          <w:szCs w:val="20"/>
        </w:rPr>
        <w:t>NGHỊ QUYẾT</w:t>
      </w:r>
    </w:p>
    <w:p>
      <w:pPr>
        <w:jc w:val="center"/>
        <w:rPr>
          <w:rFonts w:ascii="Arial" w:hAnsi="Arial" w:cs="Arial"/>
          <w:b/>
          <w:sz w:val="20"/>
          <w:szCs w:val="20"/>
        </w:rPr>
      </w:pPr>
      <w:r>
        <w:rPr>
          <w:rFonts w:ascii="Arial" w:hAnsi="Arial" w:cs="Arial"/>
          <w:b/>
          <w:sz w:val="20"/>
          <w:szCs w:val="20"/>
        </w:rPr>
        <w:t>VỀ BẢNG GIÁ ĐẤT ĐỊNH KỲ 05 NĂM (2020 - 2024) TRÊN ĐỊA BÀN TỈNH HẬU GIANG</w:t>
      </w:r>
    </w:p>
    <w:p>
      <w:pPr>
        <w:jc w:val="center"/>
        <w:rPr>
          <w:rFonts w:ascii="Arial" w:hAnsi="Arial" w:cs="Arial"/>
          <w:sz w:val="20"/>
          <w:szCs w:val="20"/>
          <w:vertAlign w:val="superscript"/>
        </w:rPr>
      </w:pPr>
      <w:r>
        <w:rPr>
          <w:rFonts w:ascii="Arial" w:hAnsi="Arial" w:cs="Arial"/>
          <w:sz w:val="20"/>
          <w:szCs w:val="20"/>
          <w:vertAlign w:val="superscript"/>
        </w:rPr>
        <w:t>___________</w:t>
      </w:r>
    </w:p>
    <w:p>
      <w:pPr>
        <w:jc w:val="center"/>
        <w:rPr>
          <w:rFonts w:ascii="Arial" w:hAnsi="Arial" w:cs="Arial"/>
          <w:sz w:val="20"/>
          <w:szCs w:val="20"/>
        </w:rPr>
      </w:pPr>
      <w:r>
        <w:rPr>
          <w:rFonts w:ascii="Arial" w:hAnsi="Arial" w:cs="Arial"/>
          <w:sz w:val="20"/>
          <w:szCs w:val="20"/>
        </w:rPr>
        <w:t>HỘI ĐỒNG NHÂN DÂN TỈNH HẬU GIANG</w:t>
      </w:r>
      <w:r>
        <w:rPr>
          <w:rFonts w:ascii="Arial" w:hAnsi="Arial" w:cs="Arial"/>
          <w:sz w:val="20"/>
          <w:szCs w:val="20"/>
        </w:rPr>
        <w:br w:type="textWrapping"/>
      </w:r>
      <w:r>
        <w:rPr>
          <w:rFonts w:ascii="Arial" w:hAnsi="Arial" w:cs="Arial"/>
          <w:sz w:val="20"/>
          <w:szCs w:val="20"/>
        </w:rPr>
        <w:t>KHÓA IX KỲ HỌP THỨ 14</w:t>
      </w:r>
    </w:p>
    <w:p>
      <w:pPr>
        <w:jc w:val="center"/>
        <w:rPr>
          <w:rFonts w:ascii="Arial" w:hAnsi="Arial" w:cs="Arial"/>
          <w:b/>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bản quy phạm pháp luật ngày 22 tháng 6 năm 2015;</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sz w:val="20"/>
          <w:szCs w:val="20"/>
        </w:rPr>
      </w:pPr>
      <w:r>
        <w:rPr>
          <w:rFonts w:ascii="Arial" w:hAnsi="Arial" w:cs="Arial"/>
          <w:i/>
          <w:sz w:val="20"/>
          <w:szCs w:val="20"/>
        </w:rPr>
        <w:t>Căn cứ Nghị định số 44/2014/NĐ-CP ngày 15 tháng 5 năm 2014 của Chính phủ quy định về giá đất;</w:t>
      </w:r>
    </w:p>
    <w:p>
      <w:pPr>
        <w:spacing w:after="120"/>
        <w:ind w:firstLine="720"/>
        <w:jc w:val="both"/>
        <w:rPr>
          <w:rFonts w:ascii="Arial" w:hAnsi="Arial" w:cs="Arial"/>
          <w:i/>
          <w:sz w:val="20"/>
          <w:szCs w:val="20"/>
        </w:rPr>
      </w:pPr>
      <w:r>
        <w:rPr>
          <w:rFonts w:ascii="Arial" w:hAnsi="Arial" w:cs="Arial"/>
          <w:i/>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i/>
          <w:sz w:val="20"/>
          <w:szCs w:val="20"/>
        </w:rPr>
      </w:pPr>
      <w:r>
        <w:rPr>
          <w:rFonts w:ascii="Arial" w:hAnsi="Arial" w:cs="Arial"/>
          <w:i/>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i/>
          <w:sz w:val="20"/>
          <w:szCs w:val="20"/>
        </w:rPr>
      </w:pPr>
      <w:r>
        <w:rPr>
          <w:rFonts w:ascii="Arial" w:hAnsi="Arial" w:cs="Arial"/>
          <w:i/>
          <w:sz w:val="20"/>
          <w:szCs w:val="20"/>
        </w:rPr>
        <w:t>Căn cứ Thông tư liên tịch số 87/2016/TTLT-BTC-BTNMT ngày 22 tháng 6 năm 2016 của Bộ trưởng Bộ Tài chính và Bộ trưởng Bộ Tài nguyên và Môi trường hướng dẫn việc thẩm định dự thảo bảng giá đất của Hội đồng thẩm định bảng giá đất, thẩm định phương án giá đất của Hội đồng thẩm định giá đất;</w:t>
      </w:r>
    </w:p>
    <w:p>
      <w:pPr>
        <w:spacing w:after="120"/>
        <w:ind w:firstLine="720"/>
        <w:jc w:val="both"/>
        <w:rPr>
          <w:rFonts w:ascii="Arial" w:hAnsi="Arial" w:cs="Arial"/>
          <w:i/>
          <w:sz w:val="20"/>
          <w:szCs w:val="20"/>
        </w:rPr>
      </w:pPr>
      <w:r>
        <w:rPr>
          <w:rFonts w:ascii="Arial" w:hAnsi="Arial" w:cs="Arial"/>
          <w:i/>
          <w:sz w:val="20"/>
          <w:szCs w:val="20"/>
        </w:rPr>
        <w:t>Căn cứ Thông tư số 33/2017/TT-BTNMT ngày 29 tháng 9 năm 2017 của Bộ trưởng Bộ Tài nguyên và Môi trường quy định chi tiết Nghị định số 01/2017/NĐ-CP ngày 06 tháng 01 năm 2017 của Chính phủ sửa đổi, bổ sung một số Nghị định quy định chi tiết thi hành Luật Đất đai;</w:t>
      </w:r>
    </w:p>
    <w:p>
      <w:pPr>
        <w:ind w:firstLine="720"/>
        <w:jc w:val="both"/>
        <w:rPr>
          <w:rFonts w:ascii="Arial" w:hAnsi="Arial" w:cs="Arial"/>
          <w:i/>
          <w:sz w:val="20"/>
          <w:szCs w:val="20"/>
        </w:rPr>
      </w:pPr>
      <w:r>
        <w:rPr>
          <w:rFonts w:ascii="Arial" w:hAnsi="Arial" w:cs="Arial"/>
          <w:i/>
          <w:sz w:val="20"/>
          <w:szCs w:val="20"/>
        </w:rPr>
        <w:t>Xét Tờ trình số 2857/TTr-UBND ngày 21 tháng 11 năm 2019 của Ủy ban nhân dân tỉnh Hậu Giang đề nghị thông qua Bảng giá đất định kỳ 05 năm (2020 - 2024) trên địa bàn tỉnh Hậu Giang; Báo cáo thẩm tra của Ban Kinh tế - Ngân sách; ý kiến thảo luận của đại biểu Hội đồng nhân dân tại kỳ họp.</w:t>
      </w:r>
    </w:p>
    <w:p>
      <w:pPr>
        <w:rPr>
          <w:rFonts w:ascii="Arial" w:hAnsi="Arial" w:cs="Arial"/>
          <w:i/>
          <w:sz w:val="20"/>
          <w:szCs w:val="20"/>
        </w:rPr>
      </w:pPr>
    </w:p>
    <w:p>
      <w:pPr>
        <w:jc w:val="center"/>
        <w:rPr>
          <w:rFonts w:ascii="Arial" w:hAnsi="Arial" w:cs="Arial"/>
          <w:b/>
          <w:sz w:val="20"/>
          <w:szCs w:val="20"/>
        </w:rPr>
      </w:pPr>
      <w:r>
        <w:rPr>
          <w:rFonts w:ascii="Arial" w:hAnsi="Arial" w:cs="Arial"/>
          <w:b/>
          <w:sz w:val="20"/>
          <w:szCs w:val="20"/>
        </w:rPr>
        <w:t>QUYẾT NGHỊ:</w:t>
      </w:r>
    </w:p>
    <w:p>
      <w:pPr>
        <w:jc w:val="center"/>
        <w:rPr>
          <w:rFonts w:ascii="Arial" w:hAnsi="Arial" w:cs="Arial"/>
          <w:b/>
          <w:sz w:val="20"/>
          <w:szCs w:val="20"/>
        </w:rPr>
      </w:pPr>
    </w:p>
    <w:p>
      <w:pPr>
        <w:spacing w:after="120"/>
        <w:ind w:firstLine="720"/>
        <w:jc w:val="both"/>
        <w:rPr>
          <w:rFonts w:ascii="Arial" w:hAnsi="Arial" w:cs="Arial"/>
          <w:color w:val="000000"/>
          <w:sz w:val="20"/>
          <w:szCs w:val="20"/>
        </w:rPr>
      </w:pPr>
      <w:r>
        <w:rPr>
          <w:rStyle w:val="14"/>
          <w:rFonts w:ascii="Arial" w:hAnsi="Arial" w:cs="Arial"/>
          <w:color w:val="000000"/>
          <w:sz w:val="20"/>
          <w:szCs w:val="20"/>
          <w:lang w:val="vi-VN"/>
        </w:rPr>
        <w:t>Điều 1.</w:t>
      </w:r>
      <w:r>
        <w:rPr>
          <w:rFonts w:ascii="Arial" w:hAnsi="Arial" w:cs="Arial"/>
          <w:color w:val="000000"/>
          <w:sz w:val="20"/>
          <w:szCs w:val="20"/>
          <w:lang w:val="vi-VN"/>
        </w:rPr>
        <w:t xml:space="preserve"> </w:t>
      </w:r>
      <w:r>
        <w:rPr>
          <w:rFonts w:ascii="Arial" w:hAnsi="Arial" w:cs="Arial"/>
          <w:b/>
          <w:color w:val="000000"/>
          <w:sz w:val="20"/>
          <w:szCs w:val="20"/>
        </w:rPr>
        <w:t>Phạm vi điều chỉnh và đối tượng áp dụng</w:t>
      </w:r>
    </w:p>
    <w:p>
      <w:pPr>
        <w:spacing w:after="120"/>
        <w:ind w:firstLine="720"/>
        <w:jc w:val="both"/>
        <w:rPr>
          <w:rFonts w:ascii="Arial" w:hAnsi="Arial" w:cs="Arial"/>
          <w:b/>
          <w:color w:val="000000"/>
          <w:sz w:val="20"/>
          <w:szCs w:val="20"/>
        </w:rPr>
      </w:pPr>
      <w:r>
        <w:rPr>
          <w:rFonts w:ascii="Arial" w:hAnsi="Arial" w:cs="Arial"/>
          <w:color w:val="000000"/>
          <w:sz w:val="20"/>
          <w:szCs w:val="20"/>
        </w:rPr>
        <w:t xml:space="preserve">1. Phạm vi điều chỉnh: Nghị quyết này quy định về </w:t>
      </w:r>
      <w:r>
        <w:rPr>
          <w:rStyle w:val="14"/>
          <w:rFonts w:ascii="Arial" w:hAnsi="Arial" w:cs="Arial"/>
          <w:b w:val="0"/>
          <w:color w:val="000000"/>
          <w:sz w:val="20"/>
          <w:szCs w:val="20"/>
        </w:rPr>
        <w:t>Bảng giá đất định kỳ 05 năm (2020 - 2024) trên địa bàn tỉnh Hậu Giang.</w:t>
      </w:r>
    </w:p>
    <w:p>
      <w:pPr>
        <w:spacing w:after="120"/>
        <w:ind w:firstLine="720"/>
        <w:jc w:val="both"/>
        <w:rPr>
          <w:rFonts w:ascii="Arial" w:hAnsi="Arial" w:cs="Arial"/>
          <w:color w:val="000000"/>
          <w:sz w:val="20"/>
          <w:szCs w:val="20"/>
        </w:rPr>
      </w:pPr>
      <w:r>
        <w:rPr>
          <w:rFonts w:ascii="Arial" w:hAnsi="Arial" w:cs="Arial"/>
          <w:color w:val="000000"/>
          <w:sz w:val="20"/>
          <w:szCs w:val="20"/>
        </w:rPr>
        <w:t>2.</w:t>
      </w:r>
      <w:r>
        <w:rPr>
          <w:rFonts w:ascii="Arial" w:hAnsi="Arial" w:cs="Arial"/>
          <w:b/>
          <w:color w:val="000000"/>
          <w:sz w:val="20"/>
          <w:szCs w:val="20"/>
        </w:rPr>
        <w:t xml:space="preserve"> </w:t>
      </w:r>
      <w:r>
        <w:rPr>
          <w:rFonts w:ascii="Arial" w:hAnsi="Arial" w:cs="Arial"/>
          <w:color w:val="000000"/>
          <w:sz w:val="20"/>
          <w:szCs w:val="20"/>
        </w:rPr>
        <w:t>Đối tượng áp dụng</w:t>
      </w:r>
    </w:p>
    <w:p>
      <w:pPr>
        <w:spacing w:after="120"/>
        <w:ind w:firstLine="720"/>
        <w:jc w:val="both"/>
        <w:rPr>
          <w:rFonts w:ascii="Arial" w:hAnsi="Arial" w:cs="Arial"/>
          <w:color w:val="000000"/>
          <w:sz w:val="20"/>
          <w:szCs w:val="20"/>
        </w:rPr>
      </w:pPr>
      <w:r>
        <w:rPr>
          <w:rFonts w:ascii="Arial" w:hAnsi="Arial" w:cs="Arial"/>
          <w:color w:val="000000"/>
          <w:sz w:val="20"/>
          <w:szCs w:val="20"/>
        </w:rPr>
        <w:t>a) Cơ quan quản lý nhà nước về đất đai;</w:t>
      </w:r>
    </w:p>
    <w:p>
      <w:pPr>
        <w:spacing w:after="120"/>
        <w:ind w:firstLine="720"/>
        <w:jc w:val="both"/>
        <w:rPr>
          <w:rFonts w:ascii="Arial" w:hAnsi="Arial" w:cs="Arial"/>
          <w:color w:val="000000"/>
          <w:sz w:val="20"/>
          <w:szCs w:val="20"/>
        </w:rPr>
      </w:pPr>
      <w:r>
        <w:rPr>
          <w:rFonts w:ascii="Arial" w:hAnsi="Arial" w:cs="Arial"/>
          <w:color w:val="000000"/>
          <w:sz w:val="20"/>
          <w:szCs w:val="20"/>
        </w:rPr>
        <w:t>b) Người sử dụng đất theo quy định tại </w:t>
      </w:r>
      <w:bookmarkStart w:id="0" w:name="dc_1"/>
      <w:r>
        <w:rPr>
          <w:rFonts w:ascii="Arial" w:hAnsi="Arial" w:cs="Arial"/>
          <w:color w:val="000000"/>
          <w:sz w:val="20"/>
          <w:szCs w:val="20"/>
        </w:rPr>
        <w:t>Điều 5 của Luật Đất đai</w:t>
      </w:r>
      <w:bookmarkEnd w:id="0"/>
      <w:r>
        <w:rPr>
          <w:rFonts w:ascii="Arial" w:hAnsi="Arial" w:cs="Arial"/>
          <w:color w:val="000000"/>
          <w:sz w:val="20"/>
          <w:szCs w:val="20"/>
        </w:rPr>
        <w:t>;</w:t>
      </w:r>
    </w:p>
    <w:p>
      <w:pPr>
        <w:spacing w:after="120"/>
        <w:ind w:firstLine="720"/>
        <w:jc w:val="both"/>
        <w:rPr>
          <w:rFonts w:ascii="Arial" w:hAnsi="Arial" w:cs="Arial"/>
          <w:color w:val="000000"/>
          <w:sz w:val="20"/>
          <w:szCs w:val="20"/>
        </w:rPr>
      </w:pPr>
      <w:bookmarkStart w:id="2" w:name="_GoBack"/>
      <w:bookmarkEnd w:id="2"/>
      <w:r>
        <w:rPr>
          <w:rFonts w:ascii="Arial" w:hAnsi="Arial" w:cs="Arial"/>
          <w:color w:val="000000"/>
          <w:sz w:val="20"/>
          <w:szCs w:val="20"/>
        </w:rPr>
        <w:t>c) Các đối tượng khác có liên quan đến việc quản lý, sử dụng đất.</w:t>
      </w:r>
    </w:p>
    <w:p>
      <w:pPr>
        <w:spacing w:after="120"/>
        <w:ind w:firstLine="720"/>
        <w:jc w:val="both"/>
        <w:rPr>
          <w:rStyle w:val="14"/>
          <w:rFonts w:ascii="Arial" w:hAnsi="Arial" w:cs="Arial"/>
          <w:b w:val="0"/>
          <w:color w:val="000000"/>
          <w:sz w:val="20"/>
          <w:szCs w:val="20"/>
        </w:rPr>
      </w:pPr>
      <w:r>
        <w:rPr>
          <w:rStyle w:val="14"/>
          <w:rFonts w:ascii="Arial" w:hAnsi="Arial" w:cs="Arial"/>
          <w:color w:val="000000"/>
          <w:sz w:val="20"/>
          <w:szCs w:val="20"/>
        </w:rPr>
        <w:t>Điều 2.</w:t>
      </w:r>
      <w:r>
        <w:rPr>
          <w:rStyle w:val="14"/>
          <w:rFonts w:ascii="Arial" w:hAnsi="Arial" w:cs="Arial"/>
          <w:b w:val="0"/>
          <w:color w:val="000000"/>
          <w:sz w:val="20"/>
          <w:szCs w:val="20"/>
        </w:rPr>
        <w:t xml:space="preserve"> Nội dung Bảng giá đất định kỳ 05 năm (2020 - 2024) trên địa bàn tỉnh Hậu Giang, cụ thể như sau:</w:t>
      </w:r>
    </w:p>
    <w:p>
      <w:pPr>
        <w:spacing w:after="120"/>
        <w:ind w:firstLine="720"/>
        <w:jc w:val="both"/>
        <w:rPr>
          <w:rFonts w:ascii="Arial" w:hAnsi="Arial" w:cs="Arial"/>
          <w:i/>
          <w:color w:val="000000"/>
          <w:sz w:val="20"/>
          <w:szCs w:val="20"/>
          <w:lang w:val="nl-NL"/>
        </w:rPr>
      </w:pPr>
      <w:r>
        <w:rPr>
          <w:rFonts w:ascii="Arial" w:hAnsi="Arial" w:cs="Arial"/>
          <w:color w:val="000000"/>
          <w:sz w:val="20"/>
          <w:szCs w:val="20"/>
          <w:lang w:val="nl-NL"/>
        </w:rPr>
        <w:t xml:space="preserve">1. Bảng giá các loại đất trong Khu Nông nghiệp ứng dụng công nghệ cao </w:t>
      </w:r>
      <w:r>
        <w:rPr>
          <w:rFonts w:ascii="Arial" w:hAnsi="Arial" w:cs="Arial"/>
          <w:i/>
          <w:color w:val="000000"/>
          <w:sz w:val="20"/>
          <w:szCs w:val="20"/>
          <w:lang w:val="nl-NL"/>
        </w:rPr>
        <w:t>(đính kèm Phụ lục 1).</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2. Đối với nhóm đất nông nghiệp</w:t>
      </w:r>
    </w:p>
    <w:p>
      <w:pPr>
        <w:spacing w:after="120"/>
        <w:ind w:firstLine="720"/>
        <w:jc w:val="both"/>
        <w:rPr>
          <w:rFonts w:ascii="Arial" w:hAnsi="Arial" w:cs="Arial"/>
          <w:color w:val="000000"/>
          <w:sz w:val="20"/>
          <w:szCs w:val="20"/>
          <w:lang w:val="nl-NL"/>
        </w:rPr>
      </w:pPr>
      <w:r>
        <w:rPr>
          <w:rStyle w:val="14"/>
          <w:rFonts w:ascii="Arial" w:hAnsi="Arial" w:cs="Arial"/>
          <w:b w:val="0"/>
          <w:color w:val="000000"/>
          <w:sz w:val="20"/>
          <w:szCs w:val="20"/>
          <w:lang w:val="nl-NL"/>
        </w:rPr>
        <w:t xml:space="preserve">a) Bảng giá </w:t>
      </w:r>
      <w:r>
        <w:rPr>
          <w:rFonts w:ascii="Arial" w:hAnsi="Arial" w:cs="Arial"/>
          <w:color w:val="000000"/>
          <w:sz w:val="20"/>
          <w:szCs w:val="20"/>
          <w:lang w:val="nl-NL"/>
        </w:rPr>
        <w:t>đất trồng cây hàng năm gồm đất trồng lúa và đất trồng cây hàng năm khác; đất nuôi trồng thủy sản; đất rừng sản xuất.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 </w:t>
      </w:r>
      <w:r>
        <w:rPr>
          <w:rFonts w:ascii="Arial" w:hAnsi="Arial" w:cs="Arial"/>
          <w:color w:val="000000"/>
          <w:sz w:val="20"/>
          <w:szCs w:val="20"/>
          <w:shd w:val="clear" w:color="auto" w:fill="FFFFFF"/>
          <w:lang w:val="nl-NL"/>
        </w:rPr>
        <w:t xml:space="preserve">Vị trí có các yếu tố và điều kiện thuận lợi </w:t>
      </w:r>
      <w:r>
        <w:rPr>
          <w:rFonts w:ascii="Arial" w:hAnsi="Arial" w:cs="Arial"/>
          <w:color w:val="000000"/>
          <w:sz w:val="20"/>
          <w:szCs w:val="20"/>
          <w:lang w:val="nl-NL"/>
        </w:rPr>
        <w:t>nằm ven các tuyến đường bộ (hoặc sông, rạch, kênh mương), trong khu dân cư, trong địa giới hành chính phường thì mức giá đất quy định bằng 12% mức giá của loại đất ở cùng vị trí nhưng không được vượt mức giá tối đa của cùng loại đất tại vùng Đồng bằng sông Cửu Long quy định trong khung giá đất do Chính phủ ban hành và không được thấp hơn mức giá đất vị trí còn lại của cùng loại đất trong cùng đơn vị hành chính cấp xã, phường, thị trấn</w:t>
      </w:r>
      <w:r>
        <w:rPr>
          <w:rFonts w:ascii="Arial" w:hAnsi="Arial" w:cs="Arial"/>
          <w:i/>
          <w:color w:val="000000"/>
          <w:sz w:val="20"/>
          <w:szCs w:val="20"/>
          <w:lang w:val="nl-NL"/>
        </w:rPr>
        <w:t>.</w:t>
      </w:r>
    </w:p>
    <w:p>
      <w:pPr>
        <w:spacing w:after="120"/>
        <w:ind w:firstLine="720"/>
        <w:jc w:val="both"/>
        <w:rPr>
          <w:rFonts w:ascii="Arial" w:hAnsi="Arial" w:cs="Arial"/>
          <w:color w:val="000000"/>
          <w:sz w:val="20"/>
          <w:szCs w:val="20"/>
          <w:shd w:val="clear" w:color="auto" w:fill="FFFFFF"/>
          <w:lang w:val="nl-NL"/>
        </w:rPr>
      </w:pPr>
      <w:r>
        <w:rPr>
          <w:rFonts w:ascii="Arial" w:hAnsi="Arial" w:cs="Arial"/>
          <w:color w:val="000000"/>
          <w:sz w:val="20"/>
          <w:szCs w:val="20"/>
          <w:lang w:val="nl-NL"/>
        </w:rPr>
        <w:t xml:space="preserve">- Vị trí còn lại là </w:t>
      </w:r>
      <w:r>
        <w:rPr>
          <w:rFonts w:ascii="Arial" w:hAnsi="Arial" w:cs="Arial"/>
          <w:color w:val="000000"/>
          <w:sz w:val="20"/>
          <w:szCs w:val="20"/>
          <w:shd w:val="clear" w:color="auto" w:fill="FFFFFF"/>
          <w:lang w:val="nl-NL"/>
        </w:rPr>
        <w:t xml:space="preserve">vị trí mà tại đó các thửa đất có các yếu tố và điều kiện kém thuận lợi nhất trong cùng đơn vị hành chính cấp xã, phường, thị trấn </w:t>
      </w:r>
      <w:r>
        <w:rPr>
          <w:rFonts w:ascii="Arial" w:hAnsi="Arial" w:cs="Arial"/>
          <w:i/>
          <w:color w:val="000000"/>
          <w:sz w:val="20"/>
          <w:szCs w:val="20"/>
          <w:lang w:val="nl-NL"/>
        </w:rPr>
        <w:t xml:space="preserve">(đính kèm </w:t>
      </w:r>
      <w:r>
        <w:rPr>
          <w:rFonts w:ascii="Arial" w:hAnsi="Arial" w:cs="Arial"/>
          <w:i/>
          <w:color w:val="000000"/>
          <w:sz w:val="20"/>
          <w:szCs w:val="20"/>
          <w:shd w:val="clear" w:color="auto" w:fill="FFFFFF"/>
          <w:lang w:val="nl-NL"/>
        </w:rPr>
        <w:t xml:space="preserve">Phụ lục </w:t>
      </w:r>
      <w:r>
        <w:rPr>
          <w:rFonts w:ascii="Arial" w:hAnsi="Arial" w:cs="Arial"/>
          <w:i/>
          <w:color w:val="000000"/>
          <w:sz w:val="20"/>
          <w:szCs w:val="20"/>
          <w:lang w:val="nl-NL"/>
        </w:rPr>
        <w:t>2).</w:t>
      </w:r>
    </w:p>
    <w:p>
      <w:pPr>
        <w:spacing w:after="120"/>
        <w:ind w:firstLine="720"/>
        <w:jc w:val="both"/>
        <w:rPr>
          <w:rFonts w:ascii="Arial" w:hAnsi="Arial" w:cs="Arial"/>
          <w:color w:val="000000"/>
          <w:sz w:val="20"/>
          <w:szCs w:val="20"/>
          <w:lang w:val="nl-NL"/>
        </w:rPr>
      </w:pPr>
      <w:r>
        <w:rPr>
          <w:rFonts w:ascii="Arial" w:hAnsi="Arial" w:cs="Arial"/>
          <w:color w:val="000000"/>
          <w:sz w:val="20"/>
          <w:szCs w:val="20"/>
          <w:shd w:val="clear" w:color="auto" w:fill="FFFFFF"/>
          <w:lang w:val="nl-NL"/>
        </w:rPr>
        <w:t>b) Bảng giá đ</w:t>
      </w:r>
      <w:r>
        <w:rPr>
          <w:rFonts w:ascii="Arial" w:hAnsi="Arial" w:cs="Arial"/>
          <w:color w:val="000000"/>
          <w:sz w:val="20"/>
          <w:szCs w:val="20"/>
          <w:lang w:val="nl-NL"/>
        </w:rPr>
        <w:t>ất trồng cây lâu năm</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 </w:t>
      </w:r>
      <w:r>
        <w:rPr>
          <w:rFonts w:ascii="Arial" w:hAnsi="Arial" w:cs="Arial"/>
          <w:color w:val="000000"/>
          <w:sz w:val="20"/>
          <w:szCs w:val="20"/>
          <w:shd w:val="clear" w:color="auto" w:fill="FFFFFF"/>
          <w:lang w:val="nl-NL"/>
        </w:rPr>
        <w:t xml:space="preserve">Vị trí có các yếu tố và điều kiện thuận lợi </w:t>
      </w:r>
      <w:r>
        <w:rPr>
          <w:rFonts w:ascii="Arial" w:hAnsi="Arial" w:cs="Arial"/>
          <w:color w:val="000000"/>
          <w:sz w:val="20"/>
          <w:szCs w:val="20"/>
          <w:lang w:val="nl-NL"/>
        </w:rPr>
        <w:t>nằm ven các tuyến đường bộ (hoặc sông, rạch, kênh mương), trong khu dân cư, trong địa giới hành chính phường thì mức giá đất quy định bằng 15% mức giá của loại đất ở cùng vị trí nhưng không được vượt mức giá tối đa của cùng loại đất tại vùng Đồng bằng sông Cửu Long quy định trong khung giá đất do Chính phủ ban hành và không được thấp hơn mức giá đất vị trí còn lại của cùng loại đất trong cùng đơn vị hành chính xã, phường, thị trấn</w:t>
      </w:r>
      <w:r>
        <w:rPr>
          <w:rFonts w:ascii="Arial" w:hAnsi="Arial" w:cs="Arial"/>
          <w:i/>
          <w:color w:val="000000"/>
          <w:sz w:val="20"/>
          <w:szCs w:val="20"/>
          <w:lang w:val="nl-NL"/>
        </w:rPr>
        <w:t>.</w:t>
      </w:r>
    </w:p>
    <w:p>
      <w:pPr>
        <w:spacing w:after="120"/>
        <w:ind w:firstLine="720"/>
        <w:jc w:val="both"/>
        <w:rPr>
          <w:rFonts w:ascii="Arial" w:hAnsi="Arial" w:cs="Arial"/>
          <w:color w:val="000000"/>
          <w:sz w:val="20"/>
          <w:szCs w:val="20"/>
          <w:shd w:val="clear" w:color="auto" w:fill="FFFFFF"/>
          <w:lang w:val="nl-NL"/>
        </w:rPr>
      </w:pPr>
      <w:r>
        <w:rPr>
          <w:rFonts w:ascii="Arial" w:hAnsi="Arial" w:cs="Arial"/>
          <w:color w:val="000000"/>
          <w:sz w:val="20"/>
          <w:szCs w:val="20"/>
          <w:lang w:val="nl-NL"/>
        </w:rPr>
        <w:t xml:space="preserve">- Vị trí còn lại là </w:t>
      </w:r>
      <w:r>
        <w:rPr>
          <w:rFonts w:ascii="Arial" w:hAnsi="Arial" w:cs="Arial"/>
          <w:color w:val="000000"/>
          <w:sz w:val="20"/>
          <w:szCs w:val="20"/>
          <w:shd w:val="clear" w:color="auto" w:fill="FFFFFF"/>
          <w:lang w:val="nl-NL"/>
        </w:rPr>
        <w:t xml:space="preserve">vị trí mà tại đó các thửa đất có các yếu tố và điều kiện kém thuận lợi nhất trong cùng đơn vị hành chính xã, phường, thị trấn </w:t>
      </w:r>
      <w:r>
        <w:rPr>
          <w:rFonts w:ascii="Arial" w:hAnsi="Arial" w:cs="Arial"/>
          <w:i/>
          <w:color w:val="000000"/>
          <w:sz w:val="20"/>
          <w:szCs w:val="20"/>
          <w:lang w:val="nl-NL"/>
        </w:rPr>
        <w:t xml:space="preserve">(đính kèm </w:t>
      </w:r>
      <w:r>
        <w:rPr>
          <w:rFonts w:ascii="Arial" w:hAnsi="Arial" w:cs="Arial"/>
          <w:i/>
          <w:color w:val="000000"/>
          <w:sz w:val="20"/>
          <w:szCs w:val="20"/>
          <w:shd w:val="clear" w:color="auto" w:fill="FFFFFF"/>
          <w:lang w:val="nl-NL"/>
        </w:rPr>
        <w:t xml:space="preserve">Phụ lục </w:t>
      </w:r>
      <w:r>
        <w:rPr>
          <w:rFonts w:ascii="Arial" w:hAnsi="Arial" w:cs="Arial"/>
          <w:i/>
          <w:color w:val="000000"/>
          <w:sz w:val="20"/>
          <w:szCs w:val="20"/>
          <w:lang w:val="nl-NL"/>
        </w:rPr>
        <w:t>3).</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c) Đối với các loại đất</w:t>
      </w:r>
      <w:r>
        <w:rPr>
          <w:rFonts w:ascii="Arial" w:hAnsi="Arial" w:cs="Arial"/>
          <w:color w:val="000000"/>
          <w:sz w:val="20"/>
          <w:szCs w:val="20"/>
          <w:shd w:val="clear" w:color="auto" w:fill="FFFFFF"/>
          <w:lang w:val="nl-NL"/>
        </w:rPr>
        <w:t xml:space="preserve"> nông nghiệp khác thì mức giá đất được xác định bằng giá đất trồng cây lâu năm </w:t>
      </w:r>
      <w:r>
        <w:rPr>
          <w:rFonts w:ascii="Arial" w:hAnsi="Arial" w:cs="Arial"/>
          <w:color w:val="000000"/>
          <w:sz w:val="20"/>
          <w:szCs w:val="20"/>
          <w:lang w:val="nl-NL"/>
        </w:rPr>
        <w:t>cùng vị trí được ban hành tại Nghị quyết này.</w:t>
      </w:r>
    </w:p>
    <w:p>
      <w:pPr>
        <w:spacing w:after="120"/>
        <w:ind w:firstLine="720"/>
        <w:jc w:val="both"/>
        <w:rPr>
          <w:rFonts w:ascii="Arial" w:hAnsi="Arial" w:cs="Arial"/>
          <w:color w:val="000000"/>
          <w:sz w:val="20"/>
          <w:szCs w:val="20"/>
          <w:lang w:val="nl-NL"/>
        </w:rPr>
      </w:pPr>
      <w:r>
        <w:rPr>
          <w:rFonts w:ascii="Arial" w:hAnsi="Arial" w:cs="Arial"/>
          <w:color w:val="000000"/>
          <w:sz w:val="20"/>
          <w:szCs w:val="20"/>
          <w:shd w:val="clear" w:color="auto" w:fill="FFFFFF"/>
          <w:lang w:val="nl-NL"/>
        </w:rPr>
        <w:t xml:space="preserve">d) </w:t>
      </w:r>
      <w:r>
        <w:rPr>
          <w:rFonts w:ascii="Arial" w:hAnsi="Arial" w:cs="Arial"/>
          <w:color w:val="000000"/>
          <w:sz w:val="20"/>
          <w:szCs w:val="20"/>
          <w:lang w:val="nl-NL"/>
        </w:rPr>
        <w:t>Đất sông, ngòi, kênh, rạch và mặt nước chuyên dùng sử dụng vào mục đích nuôi trồng thủy sản thì mức giá đất được xác định bằng giá đất nuôi trồng thủy sản cùng vị trí được ban hành tại Nghị quyết này.</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3. Đối với nhóm đất phi nông nghiệp</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a) Nhóm đất phi nông nghiệp tại nông thôn</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 Bảng giá đất phi nông nghiệp tại nông thôn (đất ở tại nông thôn) </w:t>
      </w:r>
      <w:r>
        <w:rPr>
          <w:rFonts w:ascii="Arial" w:hAnsi="Arial" w:cs="Arial"/>
          <w:i/>
          <w:color w:val="000000"/>
          <w:sz w:val="20"/>
          <w:szCs w:val="20"/>
          <w:lang w:val="nl-NL"/>
        </w:rPr>
        <w:t>(đính kèm Phụ lục 4)</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 Bảng giá đất phi nông nghiệp tại nông thôn (đất thương mại, dịch vụ tại nông thôn) </w:t>
      </w:r>
      <w:r>
        <w:rPr>
          <w:rFonts w:ascii="Arial" w:hAnsi="Arial" w:cs="Arial"/>
          <w:i/>
          <w:color w:val="000000"/>
          <w:sz w:val="20"/>
          <w:szCs w:val="20"/>
          <w:lang w:val="nl-NL"/>
        </w:rPr>
        <w:t>(đính kèm Phụ lục 5)</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 Bảng giá đất phi nông nghiệp tại nông thôn (đất sản xuất, kinh doanh phi nông nghiệp không phải là đất thương mại, dịch vụ tại nông thôn) </w:t>
      </w:r>
      <w:r>
        <w:rPr>
          <w:rFonts w:ascii="Arial" w:hAnsi="Arial" w:cs="Arial"/>
          <w:i/>
          <w:color w:val="000000"/>
          <w:sz w:val="20"/>
          <w:szCs w:val="20"/>
          <w:lang w:val="nl-NL"/>
        </w:rPr>
        <w:t>(đính kèm Phụ lục 6)</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b) Nhóm đất phi nông nghiệp tại đô thị</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 Bảng giá đất phi nông nghiệp tại đô thị (đất ở tại đô thị) </w:t>
      </w:r>
      <w:r>
        <w:rPr>
          <w:rFonts w:ascii="Arial" w:hAnsi="Arial" w:cs="Arial"/>
          <w:i/>
          <w:color w:val="000000"/>
          <w:sz w:val="20"/>
          <w:szCs w:val="20"/>
          <w:lang w:val="nl-NL"/>
        </w:rPr>
        <w:t>(đính kèm Phụ lục 7)</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 Bảng giá đất phi nông nghiệp tại đô thị (đất thương mại, dịch vụ tại đô thị) </w:t>
      </w:r>
      <w:r>
        <w:rPr>
          <w:rFonts w:ascii="Arial" w:hAnsi="Arial" w:cs="Arial"/>
          <w:i/>
          <w:color w:val="000000"/>
          <w:sz w:val="20"/>
          <w:szCs w:val="20"/>
          <w:lang w:val="nl-NL"/>
        </w:rPr>
        <w:t>(đính kèm Phụ lục 8)</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 Bảng giá đất phi nông nghiệp tại đô thị (đất sản xuất, kinh doanh phi nông nghiệp không phải là đất thương mại, dịch vụ tại đô thị) </w:t>
      </w:r>
      <w:r>
        <w:rPr>
          <w:rFonts w:ascii="Arial" w:hAnsi="Arial" w:cs="Arial"/>
          <w:i/>
          <w:color w:val="000000"/>
          <w:sz w:val="20"/>
          <w:szCs w:val="20"/>
          <w:lang w:val="nl-NL"/>
        </w:rPr>
        <w:t>(đính kèm Phụ lục 9)</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c) Đối với đất sử dụng vào các mục đích công cộng có mục đích kinh doanh thì mức giá đất được xác định bằng mức giá đất sản xuất, kinh doanh phi nông nghiệp không phải là đất thương mại, dịch vụ cùng vị trí được ban hành tại Nghị quyết này.</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d) Đối với đất trụ sở cơ quan, đất xây dựng công trình sự nghiệp thì mức giá đất được xác định bằng giá đất ở cùng vị trí được ban hành tại Nghị quyết này.</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đ) Đối với đất sông, ngòi, kênh, rạch và mặt nước chuyên dùng sử dụng vào mục đích phi nông nghiệp hoặc sử dụng vào mục đích phi nông nghiệp kết hợp nuôi trồng thủy sản thì mức giá đất được xác định bằng giá đất sản xuất, kinh doanh phi nông nghiệp không phải là đất thương mại, dịch vụ cùng vị trí được ban hành tại Nghị quyết này.</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e) Đối với đất phi nông nghiệp do cơ sở tôn giáo, tín ngưỡng sử dụng; đất làm nghĩa trang, nghĩa địa; đất phi nông nghiệp khác thì mức giá đất được xác định bằng giá đất sản xuất, kinh doanh phi nông nghiệp không phải là đất thương mại, dịch vụ cùng vị trí được ban hành tại Nghị quyết này.</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g) Đối với đất khu công nghiệp, cụm công nghiệp trong các khu, cụm công nghiệp được ban hành tại Nghị quyết này chỉ áp dụng trong trường hợp đất </w:t>
      </w:r>
      <w:r>
        <w:rPr>
          <w:rFonts w:ascii="Arial" w:hAnsi="Arial" w:cs="Arial"/>
          <w:color w:val="000000"/>
          <w:sz w:val="20"/>
          <w:szCs w:val="20"/>
          <w:shd w:val="clear" w:color="auto" w:fill="FFFFFF"/>
          <w:lang w:val="nl-NL"/>
        </w:rPr>
        <w:t xml:space="preserve">đã được giải phóng mặt bằng và chỉ tính 01 (một) mức giá chung cho toàn </w:t>
      </w:r>
      <w:r>
        <w:rPr>
          <w:rFonts w:ascii="Arial" w:hAnsi="Arial" w:cs="Arial"/>
          <w:color w:val="000000"/>
          <w:sz w:val="20"/>
          <w:szCs w:val="20"/>
          <w:lang w:val="nl-NL"/>
        </w:rPr>
        <w:t>thửa đất (hoặc khu đất).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Đối với những thửa đất (hoặc khu đất) khu công nghiệp, cụm công nghiệp nằm trong các khu, cụm công nghiệp chưa được ban hành mức giá đất cụ thể tại Nghị quyết này thì vị trí và mức giá đất được xác định bằng loại đất sản xuất, kinh doanh phi nông nghiệp không phải là đất thương mại, dịch vụ cùng vị trí được ban hành tại Nghị quyết này.</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h) Mức giá đất vị trí còn lại</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Đất ở tại nông thôn: 200.000 đồng/m</w:t>
      </w:r>
      <w:r>
        <w:rPr>
          <w:rFonts w:ascii="Arial" w:hAnsi="Arial" w:cs="Arial"/>
          <w:color w:val="000000"/>
          <w:sz w:val="20"/>
          <w:szCs w:val="20"/>
          <w:vertAlign w:val="superscript"/>
          <w:lang w:val="nl-NL"/>
        </w:rPr>
        <w:t>2</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Đất thương mại, dịch vụ tại nông thôn: 160.000 đồng/m</w:t>
      </w:r>
      <w:r>
        <w:rPr>
          <w:rFonts w:ascii="Arial" w:hAnsi="Arial" w:cs="Arial"/>
          <w:color w:val="000000"/>
          <w:sz w:val="20"/>
          <w:szCs w:val="20"/>
          <w:vertAlign w:val="superscript"/>
          <w:lang w:val="nl-NL"/>
        </w:rPr>
        <w:t>2</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Đất sản xuất, kinh doanh phi nông nghiệp không phải là đất thương mại, dịch vụ tại nông thôn: 120.000 đồng/m</w:t>
      </w:r>
      <w:r>
        <w:rPr>
          <w:rFonts w:ascii="Arial" w:hAnsi="Arial" w:cs="Arial"/>
          <w:color w:val="000000"/>
          <w:sz w:val="20"/>
          <w:szCs w:val="20"/>
          <w:vertAlign w:val="superscript"/>
          <w:lang w:val="nl-NL"/>
        </w:rPr>
        <w:t>2</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Đất ở tại đô thị: Các phường thuộc thành phố Vị Thanh: 300.000 đồng/m</w:t>
      </w:r>
      <w:r>
        <w:rPr>
          <w:rFonts w:ascii="Arial" w:hAnsi="Arial" w:cs="Arial"/>
          <w:color w:val="000000"/>
          <w:sz w:val="20"/>
          <w:szCs w:val="20"/>
          <w:vertAlign w:val="superscript"/>
          <w:lang w:val="nl-NL"/>
        </w:rPr>
        <w:t>2</w:t>
      </w:r>
      <w:r>
        <w:rPr>
          <w:rFonts w:ascii="Arial" w:hAnsi="Arial" w:cs="Arial"/>
          <w:color w:val="000000"/>
          <w:sz w:val="20"/>
          <w:szCs w:val="20"/>
          <w:lang w:val="nl-NL"/>
        </w:rPr>
        <w:t>; Các phường, thị trấn còn lại trên địa bàn tỉnh Hậu Giang: 250.000 đồng/m</w:t>
      </w:r>
      <w:r>
        <w:rPr>
          <w:rFonts w:ascii="Arial" w:hAnsi="Arial" w:cs="Arial"/>
          <w:color w:val="000000"/>
          <w:sz w:val="20"/>
          <w:szCs w:val="20"/>
          <w:vertAlign w:val="superscript"/>
          <w:lang w:val="nl-NL"/>
        </w:rPr>
        <w:t>2</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Đất thương mại, dịch vụ tại đô thị: Các phường thuộc thành phố Vị Thanh: 240.000 đồng/m</w:t>
      </w:r>
      <w:r>
        <w:rPr>
          <w:rFonts w:ascii="Arial" w:hAnsi="Arial" w:cs="Arial"/>
          <w:color w:val="000000"/>
          <w:sz w:val="20"/>
          <w:szCs w:val="20"/>
          <w:vertAlign w:val="superscript"/>
          <w:lang w:val="nl-NL"/>
        </w:rPr>
        <w:t>2</w:t>
      </w:r>
      <w:r>
        <w:rPr>
          <w:rFonts w:ascii="Arial" w:hAnsi="Arial" w:cs="Arial"/>
          <w:color w:val="000000"/>
          <w:sz w:val="20"/>
          <w:szCs w:val="20"/>
          <w:lang w:val="nl-NL"/>
        </w:rPr>
        <w:t>; các phường, thị trấn còn lại trên địa bàn tỉnh Hậu Giang: 200.000 đồng/m</w:t>
      </w:r>
      <w:r>
        <w:rPr>
          <w:rFonts w:ascii="Arial" w:hAnsi="Arial" w:cs="Arial"/>
          <w:color w:val="000000"/>
          <w:sz w:val="20"/>
          <w:szCs w:val="20"/>
          <w:vertAlign w:val="superscript"/>
          <w:lang w:val="nl-NL"/>
        </w:rPr>
        <w:t>2</w:t>
      </w:r>
      <w:r>
        <w:rPr>
          <w:rFonts w:ascii="Arial" w:hAnsi="Arial" w:cs="Arial"/>
          <w:color w:val="000000"/>
          <w:sz w:val="20"/>
          <w:szCs w:val="20"/>
          <w:lang w:val="nl-NL"/>
        </w:rPr>
        <w:t>.</w:t>
      </w:r>
    </w:p>
    <w:p>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Đất sản xuất, kinh doanh phi nông nghiệp không phải là đất thương mại, dịch vụ tại đô thị: Các phường thuộc thành phố Vị Thanh: 180.000 đồng/m</w:t>
      </w:r>
      <w:r>
        <w:rPr>
          <w:rFonts w:ascii="Arial" w:hAnsi="Arial" w:cs="Arial"/>
          <w:color w:val="000000"/>
          <w:sz w:val="20"/>
          <w:szCs w:val="20"/>
          <w:vertAlign w:val="superscript"/>
          <w:lang w:val="nl-NL"/>
        </w:rPr>
        <w:t>2</w:t>
      </w:r>
      <w:r>
        <w:rPr>
          <w:rFonts w:ascii="Arial" w:hAnsi="Arial" w:cs="Arial"/>
          <w:color w:val="000000"/>
          <w:sz w:val="20"/>
          <w:szCs w:val="20"/>
          <w:lang w:val="nl-NL"/>
        </w:rPr>
        <w:t>; các phường, thị trấn còn lại trên địa bàn tỉnh Hậu Giang: 150.000 đồng/m</w:t>
      </w:r>
      <w:r>
        <w:rPr>
          <w:rFonts w:ascii="Arial" w:hAnsi="Arial" w:cs="Arial"/>
          <w:color w:val="000000"/>
          <w:sz w:val="20"/>
          <w:szCs w:val="20"/>
          <w:vertAlign w:val="superscript"/>
          <w:lang w:val="nl-NL"/>
        </w:rPr>
        <w:t>2</w:t>
      </w:r>
      <w:r>
        <w:rPr>
          <w:rFonts w:ascii="Arial" w:hAnsi="Arial" w:cs="Arial"/>
          <w:color w:val="000000"/>
          <w:sz w:val="20"/>
          <w:szCs w:val="20"/>
          <w:lang w:val="nl-NL"/>
        </w:rPr>
        <w:t>.</w:t>
      </w:r>
    </w:p>
    <w:p>
      <w:pPr>
        <w:spacing w:after="120"/>
        <w:ind w:firstLine="720"/>
        <w:jc w:val="both"/>
        <w:rPr>
          <w:rFonts w:ascii="Arial" w:hAnsi="Arial" w:cs="Arial"/>
          <w:b/>
          <w:color w:val="000000"/>
          <w:sz w:val="20"/>
          <w:szCs w:val="20"/>
          <w:lang w:val="nl-NL"/>
        </w:rPr>
      </w:pPr>
      <w:r>
        <w:rPr>
          <w:rFonts w:ascii="Arial" w:hAnsi="Arial" w:cs="Arial"/>
          <w:b/>
          <w:color w:val="000000"/>
          <w:sz w:val="20"/>
          <w:szCs w:val="20"/>
          <w:lang w:val="nl-NL"/>
        </w:rPr>
        <w:t xml:space="preserve">Điều 3. </w:t>
      </w:r>
      <w:r>
        <w:rPr>
          <w:rFonts w:ascii="Arial" w:hAnsi="Arial" w:cs="Arial"/>
          <w:color w:val="000000"/>
          <w:sz w:val="20"/>
          <w:szCs w:val="20"/>
          <w:lang w:val="nl-NL"/>
        </w:rPr>
        <w:t>Nghị quyết này thay thế Nghị quyết số 19/2014/NQ-HĐND ngày 11 tháng 12 năm 2014 của Hội đồng nhân dân tỉnh Hậu Giang về việc thông qua Bảng giá đất định kỳ 05 năm (2015 - 2019) trên địa bàn tỉnh Hậu Giang.</w:t>
      </w:r>
    </w:p>
    <w:p>
      <w:pPr>
        <w:spacing w:after="120"/>
        <w:ind w:firstLine="720"/>
        <w:jc w:val="both"/>
        <w:rPr>
          <w:rFonts w:ascii="Arial" w:hAnsi="Arial" w:cs="Arial"/>
          <w:color w:val="000000"/>
          <w:sz w:val="20"/>
          <w:szCs w:val="20"/>
          <w:shd w:val="clear" w:color="auto" w:fill="FFFFFF"/>
          <w:lang w:val="nl-NL"/>
        </w:rPr>
      </w:pPr>
      <w:r>
        <w:rPr>
          <w:rFonts w:ascii="Arial" w:hAnsi="Arial" w:cs="Arial"/>
          <w:color w:val="000000"/>
          <w:sz w:val="20"/>
          <w:szCs w:val="20"/>
          <w:shd w:val="clear" w:color="auto" w:fill="FFFFFF"/>
          <w:lang w:val="nl-NL"/>
        </w:rPr>
        <w:t>Hội đồng nhân dân tỉnh</w:t>
      </w:r>
      <w:r>
        <w:rPr>
          <w:rFonts w:ascii="Arial" w:hAnsi="Arial" w:cs="Arial"/>
          <w:b/>
          <w:color w:val="000000"/>
          <w:sz w:val="20"/>
          <w:szCs w:val="20"/>
          <w:lang w:val="nl-NL"/>
        </w:rPr>
        <w:t xml:space="preserve"> </w:t>
      </w:r>
      <w:r>
        <w:rPr>
          <w:rFonts w:ascii="Arial" w:hAnsi="Arial" w:cs="Arial"/>
          <w:color w:val="000000"/>
          <w:sz w:val="20"/>
          <w:szCs w:val="20"/>
          <w:shd w:val="clear" w:color="auto" w:fill="FFFFFF"/>
          <w:lang w:val="nl-NL"/>
        </w:rPr>
        <w:t xml:space="preserve">giao Ủy ban nhân dân tỉnh ban hành Quyết định quy định về </w:t>
      </w:r>
      <w:r>
        <w:rPr>
          <w:rStyle w:val="14"/>
          <w:rFonts w:ascii="Arial" w:hAnsi="Arial" w:cs="Arial"/>
          <w:b w:val="0"/>
          <w:color w:val="000000"/>
          <w:sz w:val="20"/>
          <w:szCs w:val="20"/>
          <w:lang w:val="nl-NL"/>
        </w:rPr>
        <w:t>Bảng giá đất định kỳ 05 năm (2020 - 2024) trên địa bàn tỉnh Hậu Giang để áp dụng theo đúng quy định của Luật Đất đai năm 2013 và các văn bản hướng dẫn thi hành</w:t>
      </w:r>
      <w:r>
        <w:rPr>
          <w:rFonts w:ascii="Arial" w:hAnsi="Arial" w:cs="Arial"/>
          <w:color w:val="000000"/>
          <w:sz w:val="20"/>
          <w:szCs w:val="20"/>
          <w:shd w:val="clear" w:color="auto" w:fill="FFFFFF"/>
          <w:lang w:val="nl-NL"/>
        </w:rPr>
        <w:t>.</w:t>
      </w:r>
    </w:p>
    <w:p>
      <w:pPr>
        <w:spacing w:after="120"/>
        <w:ind w:firstLine="720"/>
        <w:jc w:val="both"/>
        <w:rPr>
          <w:rFonts w:ascii="Arial" w:hAnsi="Arial" w:cs="Arial"/>
          <w:b/>
          <w:color w:val="000000"/>
          <w:sz w:val="20"/>
          <w:szCs w:val="20"/>
          <w:lang w:val="nl-NL"/>
        </w:rPr>
      </w:pPr>
      <w:r>
        <w:rPr>
          <w:rFonts w:ascii="Arial" w:hAnsi="Arial" w:cs="Arial"/>
          <w:b/>
          <w:color w:val="000000"/>
          <w:sz w:val="20"/>
          <w:szCs w:val="20"/>
          <w:shd w:val="clear" w:color="auto" w:fill="FFFFFF"/>
          <w:lang w:val="nl-NL"/>
        </w:rPr>
        <w:t>Điều 4</w:t>
      </w:r>
      <w:r>
        <w:rPr>
          <w:rFonts w:ascii="Arial" w:hAnsi="Arial" w:cs="Arial"/>
          <w:color w:val="000000"/>
          <w:sz w:val="20"/>
          <w:szCs w:val="20"/>
          <w:shd w:val="clear" w:color="auto" w:fill="FFFFFF"/>
          <w:lang w:val="nl-NL"/>
        </w:rPr>
        <w:t>. Hội đồng nhân dân tỉnh giao</w:t>
      </w:r>
      <w:r>
        <w:rPr>
          <w:rFonts w:ascii="Arial" w:hAnsi="Arial" w:cs="Arial"/>
          <w:b/>
          <w:color w:val="000000"/>
          <w:sz w:val="20"/>
          <w:szCs w:val="20"/>
          <w:shd w:val="clear" w:color="auto" w:fill="FFFFFF"/>
          <w:lang w:val="nl-NL"/>
        </w:rPr>
        <w:t xml:space="preserve"> </w:t>
      </w:r>
      <w:r>
        <w:rPr>
          <w:rFonts w:ascii="Arial" w:hAnsi="Arial" w:cs="Arial"/>
          <w:color w:val="000000"/>
          <w:sz w:val="20"/>
          <w:szCs w:val="20"/>
          <w:shd w:val="clear" w:color="auto" w:fill="FFFFFF"/>
          <w:lang w:val="nl-NL"/>
        </w:rPr>
        <w:t xml:space="preserve">Thường trực Hội đồng nhân dân, các Ban của Hội đồng nhân dân và đại biểu của Hội đồng nhân dân tỉnh giám sát </w:t>
      </w:r>
      <w:r>
        <w:rPr>
          <w:rFonts w:ascii="Arial" w:hAnsi="Arial" w:cs="Arial"/>
          <w:color w:val="000000"/>
          <w:sz w:val="20"/>
          <w:szCs w:val="20"/>
          <w:lang w:val="nl-NL"/>
        </w:rPr>
        <w:t>quá trình thực hiện Nghị quyết</w:t>
      </w:r>
      <w:r>
        <w:rPr>
          <w:rFonts w:ascii="Arial" w:hAnsi="Arial" w:cs="Arial"/>
          <w:color w:val="000000"/>
          <w:sz w:val="20"/>
          <w:szCs w:val="20"/>
          <w:shd w:val="clear" w:color="auto" w:fill="FFFFFF"/>
          <w:lang w:val="nl-NL"/>
        </w:rPr>
        <w:t>.</w:t>
      </w:r>
    </w:p>
    <w:p>
      <w:pPr>
        <w:tabs>
          <w:tab w:val="left" w:pos="900"/>
        </w:tabs>
        <w:ind w:firstLine="720"/>
        <w:jc w:val="both"/>
        <w:rPr>
          <w:rFonts w:ascii="Arial" w:hAnsi="Arial" w:cs="Arial"/>
          <w:color w:val="000000"/>
          <w:sz w:val="20"/>
          <w:szCs w:val="20"/>
          <w:lang w:val="nl-NL"/>
        </w:rPr>
      </w:pPr>
      <w:r>
        <w:rPr>
          <w:rFonts w:ascii="Arial" w:hAnsi="Arial" w:cs="Arial"/>
          <w:color w:val="000000"/>
          <w:sz w:val="20"/>
          <w:szCs w:val="20"/>
          <w:lang w:val="nl-NL"/>
        </w:rPr>
        <w:t>Nghị quyết này đã được Hội đồng nhân dân tỉnh Hậu Giang Khóa IX Kỳ họp thứ 14 thông qua ngày 06 tháng 12 năm 2019 và có hiệu lực từ ngày 01 tháng 01 năm 2020</w:t>
      </w:r>
      <w:r>
        <w:rPr>
          <w:rFonts w:ascii="Arial" w:hAnsi="Arial" w:cs="Arial"/>
          <w:color w:val="000000"/>
          <w:sz w:val="20"/>
          <w:szCs w:val="20"/>
          <w:lang w:val="vi-VN"/>
        </w:rPr>
        <w:t>./.</w:t>
      </w:r>
    </w:p>
    <w:p>
      <w:pPr>
        <w:tabs>
          <w:tab w:val="left" w:pos="900"/>
        </w:tabs>
        <w:rPr>
          <w:rFonts w:ascii="Arial" w:hAnsi="Arial" w:cs="Arial"/>
          <w:color w:val="000000"/>
          <w:sz w:val="20"/>
          <w:szCs w:val="20"/>
          <w:lang w:val="nl-NL"/>
        </w:rPr>
      </w:pPr>
    </w:p>
    <w:tbl>
      <w:tblPr>
        <w:tblStyle w:val="15"/>
        <w:tblW w:w="0" w:type="auto"/>
        <w:jc w:val="center"/>
        <w:tblLayout w:type="autofit"/>
        <w:tblCellMar>
          <w:top w:w="0" w:type="dxa"/>
          <w:left w:w="108" w:type="dxa"/>
          <w:bottom w:w="0" w:type="dxa"/>
          <w:right w:w="108" w:type="dxa"/>
        </w:tblCellMar>
      </w:tblPr>
      <w:tblGrid>
        <w:gridCol w:w="5211"/>
        <w:gridCol w:w="3796"/>
      </w:tblGrid>
      <w:tr>
        <w:tblPrEx>
          <w:tblCellMar>
            <w:top w:w="0" w:type="dxa"/>
            <w:left w:w="108" w:type="dxa"/>
            <w:bottom w:w="0" w:type="dxa"/>
            <w:right w:w="108" w:type="dxa"/>
          </w:tblCellMar>
        </w:tblPrEx>
        <w:trPr>
          <w:wBefore w:w="0" w:type="dxa"/>
          <w:wAfter w:w="0" w:type="dxa"/>
          <w:jc w:val="center"/>
        </w:trPr>
        <w:tc>
          <w:tcPr>
            <w:tcW w:w="5211" w:type="dxa"/>
            <w:shd w:val="clear" w:color="auto" w:fill="auto"/>
            <w:noWrap w:val="0"/>
            <w:vAlign w:val="top"/>
          </w:tcPr>
          <w:p>
            <w:pPr>
              <w:pStyle w:val="5"/>
              <w:spacing w:before="0" w:beforeAutospacing="0" w:after="0" w:afterAutospacing="0"/>
              <w:rPr>
                <w:rFonts w:ascii="Arial" w:hAnsi="Arial" w:cs="Arial"/>
                <w:color w:val="000000"/>
                <w:sz w:val="20"/>
                <w:szCs w:val="20"/>
                <w:lang w:val="pt-BR"/>
              </w:rPr>
            </w:pPr>
            <w:r>
              <w:rPr>
                <w:rStyle w:val="13"/>
                <w:rFonts w:ascii="Arial" w:hAnsi="Arial" w:cs="Arial"/>
                <w:b/>
                <w:bCs/>
                <w:color w:val="000000"/>
                <w:sz w:val="20"/>
                <w:szCs w:val="20"/>
                <w:lang w:val="vi-VN"/>
              </w:rPr>
              <w:t>Nơi nhận:</w:t>
            </w:r>
            <w:r>
              <w:rPr>
                <w:rFonts w:ascii="Arial" w:hAnsi="Arial" w:cs="Arial"/>
                <w:b/>
                <w:color w:val="000000"/>
                <w:sz w:val="20"/>
                <w:szCs w:val="20"/>
                <w:lang w:val="vi-VN"/>
              </w:rPr>
              <w:t xml:space="preserve"> </w:t>
            </w:r>
            <w:r>
              <w:rPr>
                <w:rStyle w:val="14"/>
                <w:rFonts w:ascii="Arial" w:hAnsi="Arial" w:cs="Arial"/>
                <w:b w:val="0"/>
                <w:color w:val="000000"/>
                <w:sz w:val="20"/>
                <w:szCs w:val="20"/>
                <w:lang w:val="nl-NL"/>
              </w:rPr>
              <w:br w:type="textWrapping"/>
            </w:r>
            <w:r>
              <w:rPr>
                <w:rFonts w:ascii="Arial" w:hAnsi="Arial" w:cs="Arial"/>
                <w:color w:val="000000"/>
                <w:sz w:val="20"/>
                <w:szCs w:val="20"/>
                <w:lang w:val="vi-VN"/>
              </w:rPr>
              <w:t>-</w:t>
            </w:r>
            <w:r>
              <w:rPr>
                <w:rFonts w:ascii="Arial" w:hAnsi="Arial" w:cs="Arial"/>
                <w:bCs/>
                <w:color w:val="000000"/>
                <w:sz w:val="20"/>
                <w:szCs w:val="20"/>
                <w:lang w:val="vi-VN"/>
              </w:rPr>
              <w:t xml:space="preserve"> </w:t>
            </w:r>
            <w:r>
              <w:rPr>
                <w:rFonts w:ascii="Arial" w:hAnsi="Arial" w:cs="Arial"/>
                <w:bCs/>
                <w:color w:val="000000"/>
                <w:sz w:val="20"/>
                <w:szCs w:val="20"/>
                <w:lang w:val="nl-NL"/>
              </w:rPr>
              <w:t>VPQH; VPCP</w:t>
            </w:r>
            <w:r>
              <w:rPr>
                <w:rFonts w:ascii="Arial" w:hAnsi="Arial" w:cs="Arial"/>
                <w:bCs/>
                <w:color w:val="000000"/>
                <w:sz w:val="20"/>
                <w:szCs w:val="20"/>
                <w:lang w:val="vi-VN"/>
              </w:rPr>
              <w:t xml:space="preserve"> (HN - TP.</w:t>
            </w:r>
            <w:r>
              <w:rPr>
                <w:rFonts w:ascii="Arial" w:hAnsi="Arial" w:cs="Arial"/>
                <w:bCs/>
                <w:color w:val="000000"/>
                <w:sz w:val="20"/>
                <w:szCs w:val="20"/>
                <w:lang w:val="nl-NL"/>
              </w:rPr>
              <w:t xml:space="preserve"> </w:t>
            </w:r>
            <w:r>
              <w:rPr>
                <w:rFonts w:ascii="Arial" w:hAnsi="Arial" w:cs="Arial"/>
                <w:bCs/>
                <w:color w:val="000000"/>
                <w:sz w:val="20"/>
                <w:szCs w:val="20"/>
                <w:lang w:val="vi-VN"/>
              </w:rPr>
              <w:t>HCM);</w:t>
            </w:r>
            <w:r>
              <w:rPr>
                <w:rStyle w:val="13"/>
                <w:rFonts w:ascii="Arial" w:hAnsi="Arial" w:cs="Arial"/>
                <w:color w:val="000000"/>
                <w:sz w:val="20"/>
                <w:szCs w:val="20"/>
                <w:lang w:val="vi-VN"/>
              </w:rPr>
              <w:br w:type="textWrapping"/>
            </w:r>
            <w:r>
              <w:rPr>
                <w:rFonts w:ascii="Arial" w:hAnsi="Arial" w:cs="Arial"/>
                <w:color w:val="000000"/>
                <w:sz w:val="20"/>
                <w:szCs w:val="20"/>
                <w:lang w:val="vi-VN"/>
              </w:rPr>
              <w:t>- Bộ:</w:t>
            </w:r>
            <w:r>
              <w:rPr>
                <w:rFonts w:ascii="Arial" w:hAnsi="Arial" w:cs="Arial"/>
                <w:color w:val="000000"/>
                <w:sz w:val="20"/>
                <w:szCs w:val="20"/>
                <w:lang w:val="nl-NL"/>
              </w:rPr>
              <w:t xml:space="preserve"> Tài chính</w:t>
            </w:r>
            <w:r>
              <w:rPr>
                <w:rFonts w:ascii="Arial" w:hAnsi="Arial" w:cs="Arial"/>
                <w:color w:val="000000"/>
                <w:sz w:val="20"/>
                <w:szCs w:val="20"/>
                <w:lang w:val="vi-VN"/>
              </w:rPr>
              <w:t>,</w:t>
            </w:r>
            <w:r>
              <w:rPr>
                <w:rFonts w:ascii="Arial" w:hAnsi="Arial" w:cs="Arial"/>
                <w:color w:val="000000"/>
                <w:sz w:val="20"/>
                <w:szCs w:val="20"/>
                <w:lang w:val="nl-NL"/>
              </w:rPr>
              <w:br w:type="textWrapping"/>
            </w:r>
            <w:r>
              <w:rPr>
                <w:rFonts w:ascii="Arial" w:hAnsi="Arial" w:cs="Arial"/>
                <w:color w:val="000000"/>
                <w:sz w:val="20"/>
                <w:szCs w:val="20"/>
                <w:lang w:val="nl-NL"/>
              </w:rPr>
              <w:t>- Bộ Tài nguyên và Môi trường</w:t>
            </w:r>
            <w:r>
              <w:rPr>
                <w:rFonts w:ascii="Arial" w:hAnsi="Arial" w:cs="Arial"/>
                <w:color w:val="000000"/>
                <w:sz w:val="20"/>
                <w:szCs w:val="20"/>
                <w:lang w:val="vi-VN"/>
              </w:rPr>
              <w:t>;</w:t>
            </w:r>
            <w:r>
              <w:rPr>
                <w:rFonts w:ascii="Arial" w:hAnsi="Arial" w:cs="Arial"/>
                <w:color w:val="000000"/>
                <w:sz w:val="20"/>
                <w:szCs w:val="20"/>
                <w:lang w:val="vi-VN"/>
              </w:rPr>
              <w:br w:type="textWrapping"/>
            </w:r>
            <w:r>
              <w:rPr>
                <w:rFonts w:ascii="Arial" w:hAnsi="Arial" w:cs="Arial"/>
                <w:color w:val="000000"/>
                <w:sz w:val="20"/>
                <w:szCs w:val="20"/>
                <w:lang w:val="vi-VN"/>
              </w:rPr>
              <w:t>- Tổng Cục Thuế;</w:t>
            </w:r>
            <w:r>
              <w:rPr>
                <w:rFonts w:ascii="Arial" w:hAnsi="Arial" w:cs="Arial"/>
                <w:color w:val="000000"/>
                <w:sz w:val="20"/>
                <w:szCs w:val="20"/>
                <w:lang w:val="vi-VN"/>
              </w:rPr>
              <w:br w:type="textWrapping"/>
            </w:r>
            <w:r>
              <w:rPr>
                <w:rFonts w:ascii="Arial" w:hAnsi="Arial" w:cs="Arial"/>
                <w:color w:val="000000"/>
                <w:sz w:val="20"/>
                <w:szCs w:val="20"/>
                <w:lang w:val="vi-VN"/>
              </w:rPr>
              <w:t xml:space="preserve">- Bộ Tư pháp (Cục Kiểm tra </w:t>
            </w:r>
            <w:r>
              <w:rPr>
                <w:rFonts w:ascii="Arial" w:hAnsi="Arial" w:cs="Arial"/>
                <w:color w:val="000000"/>
                <w:sz w:val="20"/>
                <w:szCs w:val="20"/>
                <w:lang w:val="nl-NL"/>
              </w:rPr>
              <w:t>VBQPPL</w:t>
            </w:r>
            <w:r>
              <w:rPr>
                <w:rFonts w:ascii="Arial" w:hAnsi="Arial" w:cs="Arial"/>
                <w:color w:val="000000"/>
                <w:sz w:val="20"/>
                <w:szCs w:val="20"/>
                <w:lang w:val="vi-VN"/>
              </w:rPr>
              <w:t>);</w:t>
            </w:r>
            <w:r>
              <w:rPr>
                <w:rFonts w:ascii="Arial" w:hAnsi="Arial" w:cs="Arial"/>
                <w:color w:val="000000"/>
                <w:sz w:val="20"/>
                <w:szCs w:val="20"/>
                <w:lang w:val="vi-VN"/>
              </w:rPr>
              <w:br w:type="textWrapping"/>
            </w:r>
            <w:r>
              <w:rPr>
                <w:rFonts w:ascii="Arial" w:hAnsi="Arial" w:cs="Arial"/>
                <w:color w:val="000000"/>
                <w:sz w:val="20"/>
                <w:szCs w:val="20"/>
                <w:lang w:val="vi-VN"/>
              </w:rPr>
              <w:t>- TT: TU, HĐND, UBND tỉnh;</w:t>
            </w:r>
            <w:r>
              <w:rPr>
                <w:rFonts w:ascii="Arial" w:hAnsi="Arial" w:cs="Arial"/>
                <w:bCs/>
                <w:color w:val="000000"/>
                <w:sz w:val="20"/>
                <w:szCs w:val="20"/>
                <w:lang w:val="nl-NL"/>
              </w:rPr>
              <w:br w:type="textWrapping"/>
            </w:r>
            <w:r>
              <w:rPr>
                <w:rFonts w:ascii="Arial" w:hAnsi="Arial" w:cs="Arial"/>
                <w:color w:val="000000"/>
                <w:sz w:val="20"/>
                <w:szCs w:val="20"/>
                <w:lang w:val="nl-NL"/>
              </w:rPr>
              <w:t>- Đại biểu Quốc hội tỉnh;</w:t>
            </w:r>
            <w:r>
              <w:rPr>
                <w:rFonts w:ascii="Arial" w:hAnsi="Arial" w:cs="Arial"/>
                <w:color w:val="000000"/>
                <w:sz w:val="20"/>
                <w:szCs w:val="20"/>
                <w:lang w:val="nl-NL"/>
              </w:rPr>
              <w:br w:type="textWrapping"/>
            </w:r>
            <w:r>
              <w:rPr>
                <w:rFonts w:ascii="Arial" w:hAnsi="Arial" w:cs="Arial"/>
                <w:color w:val="000000"/>
                <w:sz w:val="20"/>
                <w:szCs w:val="20"/>
                <w:lang w:val="nl-NL"/>
              </w:rPr>
              <w:t>- Đại biểu HĐND tỉnh;</w:t>
            </w:r>
            <w:r>
              <w:rPr>
                <w:rFonts w:ascii="Arial" w:hAnsi="Arial" w:cs="Arial"/>
                <w:color w:val="000000"/>
                <w:sz w:val="20"/>
                <w:szCs w:val="20"/>
                <w:lang w:val="vi-VN"/>
              </w:rPr>
              <w:br w:type="textWrapping"/>
            </w:r>
            <w:r>
              <w:rPr>
                <w:rFonts w:ascii="Arial" w:hAnsi="Arial" w:cs="Arial"/>
                <w:color w:val="000000"/>
                <w:sz w:val="20"/>
                <w:szCs w:val="20"/>
                <w:lang w:val="vi-VN"/>
              </w:rPr>
              <w:t>- VP Tỉnh ủy, các Ban Đảng;</w:t>
            </w:r>
            <w:r>
              <w:rPr>
                <w:rFonts w:ascii="Arial" w:hAnsi="Arial" w:cs="Arial"/>
                <w:color w:val="000000"/>
                <w:sz w:val="20"/>
                <w:szCs w:val="20"/>
                <w:lang w:val="vi-VN"/>
              </w:rPr>
              <w:br w:type="textWrapping"/>
            </w:r>
            <w:r>
              <w:rPr>
                <w:rFonts w:ascii="Arial" w:hAnsi="Arial" w:cs="Arial"/>
                <w:color w:val="000000"/>
                <w:sz w:val="20"/>
                <w:szCs w:val="20"/>
                <w:lang w:val="pt-BR"/>
              </w:rPr>
              <w:t>- VP Đoàn ĐBQH, VP. HĐND tỉnh;</w:t>
            </w:r>
            <w:r>
              <w:rPr>
                <w:rFonts w:ascii="Arial" w:hAnsi="Arial" w:cs="Arial"/>
                <w:color w:val="000000"/>
                <w:sz w:val="20"/>
                <w:szCs w:val="20"/>
                <w:lang w:val="pt-BR"/>
              </w:rPr>
              <w:br w:type="textWrapping"/>
            </w:r>
            <w:r>
              <w:rPr>
                <w:rFonts w:ascii="Arial" w:hAnsi="Arial" w:cs="Arial"/>
                <w:color w:val="000000"/>
                <w:sz w:val="20"/>
                <w:szCs w:val="20"/>
                <w:lang w:val="pt-BR"/>
              </w:rPr>
              <w:t>- UBMTTQVN và các đoàn thể tỉnh;</w:t>
            </w:r>
            <w:r>
              <w:rPr>
                <w:rFonts w:ascii="Arial" w:hAnsi="Arial" w:cs="Arial"/>
                <w:color w:val="000000"/>
                <w:sz w:val="20"/>
                <w:szCs w:val="20"/>
                <w:lang w:val="pt-BR"/>
              </w:rPr>
              <w:br w:type="textWrapping"/>
            </w:r>
            <w:r>
              <w:rPr>
                <w:rFonts w:ascii="Arial" w:hAnsi="Arial" w:cs="Arial"/>
                <w:color w:val="000000"/>
                <w:sz w:val="20"/>
                <w:szCs w:val="20"/>
                <w:lang w:val="pt-BR"/>
              </w:rPr>
              <w:t>- Các sở, ban, ngành tỉnh;</w:t>
            </w:r>
            <w:r>
              <w:rPr>
                <w:rFonts w:ascii="Arial" w:hAnsi="Arial" w:cs="Arial"/>
                <w:color w:val="000000"/>
                <w:sz w:val="20"/>
                <w:szCs w:val="20"/>
                <w:lang w:val="pt-BR"/>
              </w:rPr>
              <w:br w:type="textWrapping"/>
            </w:r>
            <w:r>
              <w:rPr>
                <w:rFonts w:ascii="Arial" w:hAnsi="Arial" w:cs="Arial"/>
                <w:color w:val="000000"/>
                <w:sz w:val="20"/>
                <w:szCs w:val="20"/>
                <w:lang w:val="pt-BR"/>
              </w:rPr>
              <w:t>- HĐND, UBND, UBMTTQVN cấp huyện;</w:t>
            </w:r>
            <w:r>
              <w:rPr>
                <w:rFonts w:ascii="Arial" w:hAnsi="Arial" w:cs="Arial"/>
                <w:color w:val="000000"/>
                <w:sz w:val="20"/>
                <w:szCs w:val="20"/>
                <w:lang w:val="pt-BR"/>
              </w:rPr>
              <w:br w:type="textWrapping"/>
            </w:r>
            <w:r>
              <w:rPr>
                <w:rFonts w:ascii="Arial" w:hAnsi="Arial" w:cs="Arial"/>
                <w:color w:val="000000"/>
                <w:sz w:val="20"/>
                <w:szCs w:val="20"/>
                <w:lang w:val="pt-BR"/>
              </w:rPr>
              <w:t>- Cơ quan Báo, Đài tỉnh;</w:t>
            </w:r>
            <w:r>
              <w:rPr>
                <w:rFonts w:ascii="Arial" w:hAnsi="Arial" w:cs="Arial"/>
                <w:color w:val="000000"/>
                <w:sz w:val="20"/>
                <w:szCs w:val="20"/>
                <w:lang w:val="pt-BR"/>
              </w:rPr>
              <w:br w:type="textWrapping"/>
            </w:r>
            <w:r>
              <w:rPr>
                <w:rFonts w:ascii="Arial" w:hAnsi="Arial" w:cs="Arial"/>
                <w:color w:val="000000"/>
                <w:sz w:val="20"/>
                <w:szCs w:val="20"/>
                <w:lang w:val="pt-BR"/>
              </w:rPr>
              <w:t>- Lưu: VT.</w:t>
            </w:r>
          </w:p>
        </w:tc>
        <w:tc>
          <w:tcPr>
            <w:tcW w:w="3796" w:type="dxa"/>
            <w:shd w:val="clear" w:color="auto" w:fill="auto"/>
            <w:noWrap w:val="0"/>
            <w:vAlign w:val="top"/>
          </w:tcPr>
          <w:p>
            <w:pPr>
              <w:jc w:val="center"/>
              <w:rPr>
                <w:rStyle w:val="14"/>
                <w:rFonts w:ascii="Arial" w:hAnsi="Arial" w:cs="Arial"/>
                <w:color w:val="000000"/>
                <w:sz w:val="20"/>
                <w:szCs w:val="20"/>
                <w:lang w:val="pt-BR"/>
              </w:rPr>
            </w:pPr>
            <w:r>
              <w:rPr>
                <w:rStyle w:val="14"/>
                <w:rFonts w:ascii="Arial" w:hAnsi="Arial" w:cs="Arial"/>
                <w:color w:val="000000"/>
                <w:sz w:val="20"/>
                <w:szCs w:val="20"/>
                <w:lang w:val="pt-BR"/>
              </w:rPr>
              <w:t>CHỦ TỊCH</w:t>
            </w:r>
            <w:r>
              <w:rPr>
                <w:rStyle w:val="14"/>
                <w:rFonts w:ascii="Arial" w:hAnsi="Arial" w:cs="Arial"/>
                <w:color w:val="000000"/>
                <w:sz w:val="20"/>
                <w:szCs w:val="20"/>
                <w:lang w:val="pt-BR"/>
              </w:rPr>
              <w:br w:type="textWrapping"/>
            </w:r>
            <w:r>
              <w:rPr>
                <w:rFonts w:ascii="Arial" w:hAnsi="Arial" w:cs="Arial"/>
                <w:b/>
                <w:i/>
                <w:color w:val="000000"/>
                <w:sz w:val="20"/>
                <w:szCs w:val="20"/>
                <w:lang w:val="pt-BR"/>
              </w:rPr>
              <w:br w:type="textWrapping"/>
            </w:r>
            <w:r>
              <w:rPr>
                <w:rStyle w:val="14"/>
                <w:rFonts w:ascii="Arial" w:hAnsi="Arial" w:cs="Arial"/>
                <w:color w:val="000000"/>
                <w:sz w:val="20"/>
                <w:szCs w:val="20"/>
                <w:lang w:val="pt-BR"/>
              </w:rPr>
              <w:br w:type="textWrapping"/>
            </w:r>
            <w:r>
              <w:rPr>
                <w:rStyle w:val="14"/>
                <w:rFonts w:ascii="Arial" w:hAnsi="Arial" w:cs="Arial"/>
                <w:color w:val="000000"/>
                <w:sz w:val="20"/>
                <w:szCs w:val="20"/>
                <w:lang w:val="pt-BR"/>
              </w:rPr>
              <w:br w:type="textWrapping"/>
            </w:r>
            <w:r>
              <w:rPr>
                <w:rStyle w:val="14"/>
                <w:rFonts w:ascii="Arial" w:hAnsi="Arial" w:cs="Arial"/>
                <w:color w:val="000000"/>
                <w:sz w:val="20"/>
                <w:szCs w:val="20"/>
                <w:lang w:val="pt-BR"/>
              </w:rPr>
              <w:br w:type="textWrapping"/>
            </w:r>
            <w:r>
              <w:rPr>
                <w:rStyle w:val="14"/>
                <w:rFonts w:ascii="Arial" w:hAnsi="Arial" w:cs="Arial"/>
                <w:color w:val="000000"/>
                <w:sz w:val="20"/>
                <w:szCs w:val="20"/>
                <w:lang w:val="pt-BR"/>
              </w:rPr>
              <w:t>Huỳnh Thanh Tạo</w:t>
            </w:r>
          </w:p>
        </w:tc>
      </w:tr>
    </w:tbl>
    <w:p>
      <w:pPr>
        <w:rPr>
          <w:rFonts w:ascii="Arial" w:hAnsi="Arial" w:cs="Arial"/>
          <w:b/>
          <w:color w:val="000000"/>
          <w:sz w:val="20"/>
          <w:szCs w:val="20"/>
        </w:rPr>
      </w:pPr>
    </w:p>
    <w:tbl>
      <w:tblPr>
        <w:tblStyle w:val="15"/>
        <w:tblW w:w="0" w:type="auto"/>
        <w:jc w:val="center"/>
        <w:tblLayout w:type="autofit"/>
        <w:tblCellMar>
          <w:top w:w="0" w:type="dxa"/>
          <w:left w:w="108" w:type="dxa"/>
          <w:bottom w:w="0" w:type="dxa"/>
          <w:right w:w="108" w:type="dxa"/>
        </w:tblCellMar>
      </w:tblPr>
      <w:tblGrid>
        <w:gridCol w:w="5868"/>
      </w:tblGrid>
      <w:tr>
        <w:tblPrEx>
          <w:tblCellMar>
            <w:top w:w="0" w:type="dxa"/>
            <w:left w:w="108" w:type="dxa"/>
            <w:bottom w:w="0" w:type="dxa"/>
            <w:right w:w="108" w:type="dxa"/>
          </w:tblCellMar>
        </w:tblPrEx>
        <w:trPr>
          <w:wBefore w:w="0" w:type="dxa"/>
          <w:jc w:val="center"/>
        </w:trPr>
        <w:tc>
          <w:tcPr>
            <w:tcW w:w="5868" w:type="dxa"/>
            <w:shd w:val="clear" w:color="auto" w:fill="auto"/>
            <w:noWrap w:val="0"/>
            <w:vAlign w:val="top"/>
          </w:tcPr>
          <w:p>
            <w:pPr>
              <w:jc w:val="center"/>
              <w:rPr>
                <w:rFonts w:ascii="Arial" w:hAnsi="Arial" w:cs="Arial"/>
                <w:b/>
                <w:color w:val="FF0000"/>
                <w:sz w:val="20"/>
                <w:szCs w:val="20"/>
                <w:lang w:val="nb-NO"/>
              </w:rPr>
            </w:pPr>
          </w:p>
          <w:p>
            <w:pPr>
              <w:jc w:val="center"/>
              <w:rPr>
                <w:rFonts w:ascii="Arial" w:hAnsi="Arial" w:cs="Arial"/>
                <w:b/>
                <w:color w:val="FF0000"/>
                <w:sz w:val="20"/>
                <w:szCs w:val="20"/>
                <w:lang w:val="nb-NO"/>
              </w:rPr>
            </w:pPr>
            <w:r>
              <w:rPr>
                <w:rFonts w:ascii="Arial" w:hAnsi="Arial" w:cs="Arial"/>
                <w:b/>
                <w:color w:val="FF0000"/>
                <w:sz w:val="20"/>
                <w:szCs w:val="20"/>
                <w:lang w:val="nb-NO"/>
              </w:rPr>
              <w:t>FILE ĐƯỢC ĐÍNH KÈM THEO VĂN BẢN</w:t>
            </w:r>
          </w:p>
          <w:p>
            <w:pPr>
              <w:jc w:val="center"/>
              <w:rPr>
                <w:rFonts w:ascii="Arial" w:hAnsi="Arial" w:cs="Arial"/>
                <w:b/>
                <w:color w:val="FF0000"/>
                <w:sz w:val="20"/>
                <w:szCs w:val="20"/>
                <w:lang w:val="nb-NO"/>
              </w:rPr>
            </w:pPr>
            <w:bookmarkStart w:id="1" w:name="_1640092306"/>
            <w:bookmarkEnd w:id="1"/>
            <w:r>
              <w:rPr>
                <w:rFonts w:ascii="Arial" w:hAnsi="Arial" w:cs="Arial"/>
                <w:b/>
                <w:color w:val="FF0000"/>
                <w:sz w:val="20"/>
                <w:szCs w:val="20"/>
                <w:lang w:val="nb-NO"/>
              </w:rPr>
              <w:object>
                <v:shape id="_x0000_i1026" o:spt="75" type="#_x0000_t75" style="height:50pt;width:77.2pt;" o:ole="t" filled="f" o:preferrelative="t" stroked="f" coordsize="21600,21600">
                  <v:path/>
                  <v:fill on="f" alignshape="1" focussize="0,0"/>
                  <v:stroke on="f"/>
                  <v:imagedata r:id="rId5" grayscale="f" bilevel="f" o:title=""/>
                  <o:lock v:ext="edit" aspectratio="t"/>
                  <w10:wrap type="none"/>
                  <w10:anchorlock/>
                </v:shape>
                <o:OLEObject Type="Embed" ProgID="Excel.Sheet.8" ShapeID="_x0000_i1026" DrawAspect="Icon" ObjectID="_1468075725" r:id="rId4">
                  <o:LockedField>false</o:LockedField>
                </o:OLEObject>
              </w:object>
            </w:r>
          </w:p>
        </w:tc>
      </w:tr>
    </w:tbl>
    <w:p>
      <w:pPr>
        <w:rPr>
          <w:rFonts w:ascii="Arial" w:hAnsi="Arial" w:cs="Arial"/>
          <w:b/>
          <w:color w:val="000000"/>
          <w:sz w:val="20"/>
          <w:szCs w:val="20"/>
        </w:rPr>
      </w:pPr>
    </w:p>
    <w:p>
      <w:pPr>
        <w:rPr>
          <w:rFonts w:ascii="Arial" w:hAnsi="Arial" w:cs="Arial"/>
          <w:b/>
          <w:color w:val="000000"/>
          <w:sz w:val="20"/>
          <w:szCs w:val="20"/>
        </w:rPr>
      </w:pP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altName w:val="SVN-Riesling"/>
    <w:panose1 w:val="00000000000000000000"/>
    <w:charset w:val="00"/>
    <w:family w:val="auto"/>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sav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85"/>
    <w:rsid w:val="0000186E"/>
    <w:rsid w:val="0000225E"/>
    <w:rsid w:val="000024A4"/>
    <w:rsid w:val="00005BE6"/>
    <w:rsid w:val="0002089E"/>
    <w:rsid w:val="000225C2"/>
    <w:rsid w:val="00037B22"/>
    <w:rsid w:val="0005433A"/>
    <w:rsid w:val="000605BE"/>
    <w:rsid w:val="00065191"/>
    <w:rsid w:val="00074D61"/>
    <w:rsid w:val="000758B0"/>
    <w:rsid w:val="00075DD9"/>
    <w:rsid w:val="00076760"/>
    <w:rsid w:val="00085EC3"/>
    <w:rsid w:val="00094971"/>
    <w:rsid w:val="00096980"/>
    <w:rsid w:val="000A26D9"/>
    <w:rsid w:val="000C3102"/>
    <w:rsid w:val="000E73F4"/>
    <w:rsid w:val="000F5FB4"/>
    <w:rsid w:val="00106D4F"/>
    <w:rsid w:val="00111922"/>
    <w:rsid w:val="00133511"/>
    <w:rsid w:val="001523CE"/>
    <w:rsid w:val="0015540A"/>
    <w:rsid w:val="001702FA"/>
    <w:rsid w:val="0018522A"/>
    <w:rsid w:val="00187651"/>
    <w:rsid w:val="00190685"/>
    <w:rsid w:val="00190E3D"/>
    <w:rsid w:val="0019169A"/>
    <w:rsid w:val="00192C2D"/>
    <w:rsid w:val="001E1704"/>
    <w:rsid w:val="001E52BE"/>
    <w:rsid w:val="001F1698"/>
    <w:rsid w:val="002136CE"/>
    <w:rsid w:val="00233EC2"/>
    <w:rsid w:val="00235356"/>
    <w:rsid w:val="00235B08"/>
    <w:rsid w:val="00256459"/>
    <w:rsid w:val="00256AF3"/>
    <w:rsid w:val="00262B61"/>
    <w:rsid w:val="0026689E"/>
    <w:rsid w:val="00295011"/>
    <w:rsid w:val="002A4DAC"/>
    <w:rsid w:val="002B313F"/>
    <w:rsid w:val="002B52DE"/>
    <w:rsid w:val="002C0A47"/>
    <w:rsid w:val="002D4236"/>
    <w:rsid w:val="002D4968"/>
    <w:rsid w:val="002E108A"/>
    <w:rsid w:val="00303B8B"/>
    <w:rsid w:val="00305AAE"/>
    <w:rsid w:val="00313425"/>
    <w:rsid w:val="003134AB"/>
    <w:rsid w:val="0031448B"/>
    <w:rsid w:val="00315B3B"/>
    <w:rsid w:val="00330787"/>
    <w:rsid w:val="00332DB2"/>
    <w:rsid w:val="0034011F"/>
    <w:rsid w:val="00347907"/>
    <w:rsid w:val="00354748"/>
    <w:rsid w:val="0036079C"/>
    <w:rsid w:val="0037232A"/>
    <w:rsid w:val="00380F38"/>
    <w:rsid w:val="003851A5"/>
    <w:rsid w:val="00385EF2"/>
    <w:rsid w:val="00387D70"/>
    <w:rsid w:val="003915EB"/>
    <w:rsid w:val="003946A8"/>
    <w:rsid w:val="003A7588"/>
    <w:rsid w:val="003B0443"/>
    <w:rsid w:val="003B1615"/>
    <w:rsid w:val="003C0CB6"/>
    <w:rsid w:val="003E1A5D"/>
    <w:rsid w:val="003E7E05"/>
    <w:rsid w:val="00424652"/>
    <w:rsid w:val="00426169"/>
    <w:rsid w:val="0043175F"/>
    <w:rsid w:val="00450674"/>
    <w:rsid w:val="00466DC7"/>
    <w:rsid w:val="00475958"/>
    <w:rsid w:val="004A192B"/>
    <w:rsid w:val="004B1F14"/>
    <w:rsid w:val="00500BB5"/>
    <w:rsid w:val="005072DB"/>
    <w:rsid w:val="0053181B"/>
    <w:rsid w:val="00542478"/>
    <w:rsid w:val="00543E39"/>
    <w:rsid w:val="005479E8"/>
    <w:rsid w:val="00553376"/>
    <w:rsid w:val="00565BFE"/>
    <w:rsid w:val="005677C4"/>
    <w:rsid w:val="005B0B42"/>
    <w:rsid w:val="005D4307"/>
    <w:rsid w:val="00600BDD"/>
    <w:rsid w:val="00613CC5"/>
    <w:rsid w:val="00624726"/>
    <w:rsid w:val="00626744"/>
    <w:rsid w:val="00640D94"/>
    <w:rsid w:val="00641EA4"/>
    <w:rsid w:val="00657BB5"/>
    <w:rsid w:val="0066593D"/>
    <w:rsid w:val="00676C3E"/>
    <w:rsid w:val="00676FC5"/>
    <w:rsid w:val="00681AF9"/>
    <w:rsid w:val="00690F9A"/>
    <w:rsid w:val="0069155D"/>
    <w:rsid w:val="00691948"/>
    <w:rsid w:val="0069369C"/>
    <w:rsid w:val="00714697"/>
    <w:rsid w:val="00715681"/>
    <w:rsid w:val="0071596A"/>
    <w:rsid w:val="00715BD3"/>
    <w:rsid w:val="007202CC"/>
    <w:rsid w:val="0073762D"/>
    <w:rsid w:val="00737910"/>
    <w:rsid w:val="00741D8A"/>
    <w:rsid w:val="007541F7"/>
    <w:rsid w:val="007556B1"/>
    <w:rsid w:val="00771D88"/>
    <w:rsid w:val="00772E56"/>
    <w:rsid w:val="00776378"/>
    <w:rsid w:val="007772CF"/>
    <w:rsid w:val="00784996"/>
    <w:rsid w:val="00795409"/>
    <w:rsid w:val="00795927"/>
    <w:rsid w:val="007B231E"/>
    <w:rsid w:val="007B6D78"/>
    <w:rsid w:val="007B73B4"/>
    <w:rsid w:val="007F01E0"/>
    <w:rsid w:val="00805EA4"/>
    <w:rsid w:val="008335A1"/>
    <w:rsid w:val="0083505A"/>
    <w:rsid w:val="008421EC"/>
    <w:rsid w:val="00842B58"/>
    <w:rsid w:val="00844DD4"/>
    <w:rsid w:val="00846292"/>
    <w:rsid w:val="00865A70"/>
    <w:rsid w:val="00877268"/>
    <w:rsid w:val="008843BF"/>
    <w:rsid w:val="00894D17"/>
    <w:rsid w:val="0089546C"/>
    <w:rsid w:val="008B3E4B"/>
    <w:rsid w:val="008B6174"/>
    <w:rsid w:val="008C6F2E"/>
    <w:rsid w:val="008E6B23"/>
    <w:rsid w:val="008E7921"/>
    <w:rsid w:val="00922A00"/>
    <w:rsid w:val="00932E77"/>
    <w:rsid w:val="0093426A"/>
    <w:rsid w:val="00942B32"/>
    <w:rsid w:val="00975C25"/>
    <w:rsid w:val="00977FBC"/>
    <w:rsid w:val="009927AF"/>
    <w:rsid w:val="009A0D37"/>
    <w:rsid w:val="009B029B"/>
    <w:rsid w:val="009B6E28"/>
    <w:rsid w:val="009D2A1C"/>
    <w:rsid w:val="009F383E"/>
    <w:rsid w:val="009F49E1"/>
    <w:rsid w:val="00A12139"/>
    <w:rsid w:val="00A1535D"/>
    <w:rsid w:val="00A160D8"/>
    <w:rsid w:val="00A2291C"/>
    <w:rsid w:val="00A24FF3"/>
    <w:rsid w:val="00A30E7C"/>
    <w:rsid w:val="00A30EBD"/>
    <w:rsid w:val="00A43D59"/>
    <w:rsid w:val="00A465C0"/>
    <w:rsid w:val="00A604FD"/>
    <w:rsid w:val="00A60D47"/>
    <w:rsid w:val="00AA3FE9"/>
    <w:rsid w:val="00AA5DA6"/>
    <w:rsid w:val="00AB67E7"/>
    <w:rsid w:val="00AB6D54"/>
    <w:rsid w:val="00AC6FFA"/>
    <w:rsid w:val="00AE035D"/>
    <w:rsid w:val="00AF1DC5"/>
    <w:rsid w:val="00B16AC6"/>
    <w:rsid w:val="00B16C87"/>
    <w:rsid w:val="00B346C0"/>
    <w:rsid w:val="00B4134C"/>
    <w:rsid w:val="00B42C7E"/>
    <w:rsid w:val="00B50DE8"/>
    <w:rsid w:val="00B56FB6"/>
    <w:rsid w:val="00B663BB"/>
    <w:rsid w:val="00B7146E"/>
    <w:rsid w:val="00B94653"/>
    <w:rsid w:val="00B95CC7"/>
    <w:rsid w:val="00BC2E16"/>
    <w:rsid w:val="00C038BD"/>
    <w:rsid w:val="00C24DFA"/>
    <w:rsid w:val="00C311A5"/>
    <w:rsid w:val="00C5600A"/>
    <w:rsid w:val="00C57EFC"/>
    <w:rsid w:val="00C852BA"/>
    <w:rsid w:val="00C86F62"/>
    <w:rsid w:val="00CB720B"/>
    <w:rsid w:val="00CE458E"/>
    <w:rsid w:val="00D22DA5"/>
    <w:rsid w:val="00D3463B"/>
    <w:rsid w:val="00D4282B"/>
    <w:rsid w:val="00D445C5"/>
    <w:rsid w:val="00D54EB0"/>
    <w:rsid w:val="00D761F8"/>
    <w:rsid w:val="00D80976"/>
    <w:rsid w:val="00D97CCB"/>
    <w:rsid w:val="00DA2B63"/>
    <w:rsid w:val="00DA2E42"/>
    <w:rsid w:val="00DA3D7B"/>
    <w:rsid w:val="00DA738D"/>
    <w:rsid w:val="00DB4039"/>
    <w:rsid w:val="00DC6BF5"/>
    <w:rsid w:val="00DD14F9"/>
    <w:rsid w:val="00DD3AF1"/>
    <w:rsid w:val="00DD3E05"/>
    <w:rsid w:val="00DF0556"/>
    <w:rsid w:val="00E177AB"/>
    <w:rsid w:val="00E26421"/>
    <w:rsid w:val="00E26C20"/>
    <w:rsid w:val="00E276D7"/>
    <w:rsid w:val="00E314BB"/>
    <w:rsid w:val="00E31D48"/>
    <w:rsid w:val="00E402C6"/>
    <w:rsid w:val="00E42194"/>
    <w:rsid w:val="00E42353"/>
    <w:rsid w:val="00E46722"/>
    <w:rsid w:val="00E5670C"/>
    <w:rsid w:val="00E572B7"/>
    <w:rsid w:val="00E619B0"/>
    <w:rsid w:val="00E6526A"/>
    <w:rsid w:val="00E665C2"/>
    <w:rsid w:val="00E840D1"/>
    <w:rsid w:val="00E9474E"/>
    <w:rsid w:val="00EA38A6"/>
    <w:rsid w:val="00EC1C02"/>
    <w:rsid w:val="00EC1EB4"/>
    <w:rsid w:val="00ED0B95"/>
    <w:rsid w:val="00EE363C"/>
    <w:rsid w:val="00EE3AEA"/>
    <w:rsid w:val="00EE7E68"/>
    <w:rsid w:val="00EF49A5"/>
    <w:rsid w:val="00F0341A"/>
    <w:rsid w:val="00F16181"/>
    <w:rsid w:val="00F1628F"/>
    <w:rsid w:val="00F23C16"/>
    <w:rsid w:val="00F32146"/>
    <w:rsid w:val="00F4448F"/>
    <w:rsid w:val="00F54BB1"/>
    <w:rsid w:val="00F76535"/>
    <w:rsid w:val="00F82A36"/>
    <w:rsid w:val="00F86CE5"/>
    <w:rsid w:val="00F936D6"/>
    <w:rsid w:val="00FA7F55"/>
    <w:rsid w:val="00FC39B2"/>
    <w:rsid w:val="00FC6166"/>
    <w:rsid w:val="00FD5FAF"/>
    <w:rsid w:val="00FD6730"/>
    <w:rsid w:val="00FE0C0F"/>
    <w:rsid w:val="00FE7027"/>
    <w:rsid w:val="00FF7B41"/>
    <w:rsid w:val="2E4B0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sz w:val="24"/>
      <w:szCs w:val="24"/>
      <w:lang w:val="en-US" w:eastAsia="en-US" w:bidi="ar-SA"/>
    </w:rPr>
  </w:style>
  <w:style w:type="paragraph" w:styleId="2">
    <w:name w:val="heading 6"/>
    <w:basedOn w:val="1"/>
    <w:qFormat/>
    <w:uiPriority w:val="0"/>
    <w:pPr>
      <w:spacing w:before="100" w:beforeAutospacing="1" w:after="100" w:afterAutospacing="1"/>
      <w:outlineLvl w:val="5"/>
    </w:pPr>
    <w:rPr>
      <w:b/>
      <w:bCs/>
      <w:sz w:val="15"/>
      <w:szCs w:val="15"/>
    </w:rPr>
  </w:style>
  <w:style w:type="paragraph" w:styleId="3">
    <w:name w:val="heading 8"/>
    <w:basedOn w:val="1"/>
    <w:qFormat/>
    <w:uiPriority w:val="0"/>
    <w:pPr>
      <w:spacing w:before="100" w:beforeAutospacing="1" w:after="100" w:afterAutospacing="1"/>
      <w:outlineLvl w:val="7"/>
    </w:pPr>
  </w:style>
  <w:style w:type="character" w:default="1" w:styleId="11">
    <w:name w:val="Default Paragraph Font"/>
    <w:link w:val="12"/>
    <w:semiHidden/>
    <w:unhideWhenUsed/>
    <w:uiPriority w:val="1"/>
  </w:style>
  <w:style w:type="table" w:default="1" w:styleId="15">
    <w:name w:val="Normal Table"/>
    <w:semiHidden/>
    <w:unhideWhenUsed/>
    <w:uiPriority w:val="99"/>
    <w:tblPr>
      <w:tblStyle w:val="15"/>
      <w:tblCellMar>
        <w:top w:w="0" w:type="dxa"/>
        <w:left w:w="108" w:type="dxa"/>
        <w:bottom w:w="0" w:type="dxa"/>
        <w:right w:w="108" w:type="dxa"/>
      </w:tblCellMar>
    </w:tblPr>
    <w:trPr>
      <w:wBefore w:w="0" w:type="dxa"/>
    </w:trPr>
  </w:style>
  <w:style w:type="paragraph" w:styleId="4">
    <w:name w:val="Balloon Text"/>
    <w:basedOn w:val="1"/>
    <w:link w:val="27"/>
    <w:uiPriority w:val="0"/>
    <w:rPr>
      <w:rFonts w:ascii="Tahoma" w:hAnsi="Tahoma" w:cs="Tahoma"/>
      <w:sz w:val="16"/>
      <w:szCs w:val="16"/>
    </w:rPr>
  </w:style>
  <w:style w:type="paragraph" w:styleId="5">
    <w:name w:val="Body Text"/>
    <w:basedOn w:val="1"/>
    <w:uiPriority w:val="0"/>
    <w:pPr>
      <w:spacing w:before="100" w:beforeAutospacing="1" w:after="100" w:afterAutospacing="1"/>
    </w:pPr>
  </w:style>
  <w:style w:type="paragraph" w:styleId="6">
    <w:name w:val="Body Text Indent"/>
    <w:basedOn w:val="1"/>
    <w:uiPriority w:val="0"/>
    <w:pPr>
      <w:spacing w:before="100" w:beforeAutospacing="1" w:after="100" w:afterAutospacing="1"/>
    </w:pPr>
  </w:style>
  <w:style w:type="paragraph" w:styleId="7">
    <w:name w:val="Body Text Indent 2"/>
    <w:basedOn w:val="1"/>
    <w:link w:val="24"/>
    <w:uiPriority w:val="0"/>
    <w:pPr>
      <w:spacing w:after="120" w:line="480" w:lineRule="auto"/>
      <w:ind w:left="360"/>
    </w:pPr>
    <w:rPr>
      <w:rFonts w:ascii="Arial" w:hAnsi="Arial"/>
      <w:sz w:val="26"/>
      <w:szCs w:val="26"/>
    </w:rPr>
  </w:style>
  <w:style w:type="paragraph" w:styleId="8">
    <w:name w:val="footer"/>
    <w:basedOn w:val="1"/>
    <w:link w:val="26"/>
    <w:uiPriority w:val="0"/>
    <w:pPr>
      <w:tabs>
        <w:tab w:val="center" w:pos="4680"/>
        <w:tab w:val="right" w:pos="9360"/>
      </w:tabs>
    </w:pPr>
  </w:style>
  <w:style w:type="paragraph" w:styleId="9">
    <w:name w:val="header"/>
    <w:basedOn w:val="1"/>
    <w:link w:val="25"/>
    <w:uiPriority w:val="99"/>
    <w:pPr>
      <w:tabs>
        <w:tab w:val="center" w:pos="4680"/>
        <w:tab w:val="right" w:pos="9360"/>
      </w:tabs>
    </w:pPr>
  </w:style>
  <w:style w:type="paragraph" w:styleId="10">
    <w:name w:val="Normal (Web)"/>
    <w:basedOn w:val="1"/>
    <w:unhideWhenUsed/>
    <w:uiPriority w:val="99"/>
    <w:pPr>
      <w:spacing w:before="100" w:beforeAutospacing="1" w:after="100" w:afterAutospacing="1"/>
    </w:pPr>
  </w:style>
  <w:style w:type="paragraph" w:customStyle="1" w:styleId="12">
    <w:name w:val=" Char"/>
    <w:basedOn w:val="1"/>
    <w:link w:val="11"/>
    <w:uiPriority w:val="0"/>
    <w:pPr>
      <w:spacing w:after="160" w:line="240" w:lineRule="exact"/>
    </w:pPr>
    <w:rPr>
      <w:rFonts w:ascii="Verdana" w:hAnsi="Verdana" w:cs="Verdana"/>
      <w:sz w:val="20"/>
      <w:szCs w:val="20"/>
    </w:rPr>
  </w:style>
  <w:style w:type="character" w:styleId="13">
    <w:name w:val="Emphasis"/>
    <w:qFormat/>
    <w:uiPriority w:val="0"/>
    <w:rPr>
      <w:i/>
      <w:iCs/>
    </w:rPr>
  </w:style>
  <w:style w:type="character" w:styleId="14">
    <w:name w:val="Strong"/>
    <w:qFormat/>
    <w:uiPriority w:val="0"/>
    <w:rPr>
      <w:b/>
      <w:bCs/>
    </w:rPr>
  </w:style>
  <w:style w:type="table" w:styleId="16">
    <w:name w:val="Table Grid"/>
    <w:basedOn w:val="15"/>
    <w:uiPriority w:val="0"/>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Normal1"/>
    <w:basedOn w:val="1"/>
    <w:uiPriority w:val="0"/>
    <w:pPr>
      <w:spacing w:before="100" w:beforeAutospacing="1" w:after="100" w:afterAutospacing="1"/>
    </w:pPr>
  </w:style>
  <w:style w:type="paragraph" w:customStyle="1" w:styleId="18">
    <w:name w:val="tde"/>
    <w:uiPriority w:val="0"/>
    <w:pPr>
      <w:widowControl w:val="0"/>
      <w:tabs>
        <w:tab w:val="center" w:pos="1247"/>
        <w:tab w:val="center" w:pos="6180"/>
      </w:tabs>
      <w:autoSpaceDE w:val="0"/>
      <w:autoSpaceDN w:val="0"/>
      <w:adjustRightInd w:val="0"/>
      <w:spacing w:line="312" w:lineRule="atLeast"/>
    </w:pPr>
    <w:rPr>
      <w:rFonts w:ascii="VNI-Times" w:hAnsi="VNI-Times" w:cs="VNI-Times"/>
      <w:b/>
      <w:bCs/>
      <w:sz w:val="26"/>
      <w:szCs w:val="26"/>
      <w:lang w:val="en-US" w:eastAsia="en-US" w:bidi="ar-SA"/>
    </w:rPr>
  </w:style>
  <w:style w:type="paragraph" w:customStyle="1" w:styleId="19">
    <w:name w:val="quyet dinh"/>
    <w:uiPriority w:val="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lang w:val="en-US" w:eastAsia="en-US" w:bidi="ar-SA"/>
    </w:rPr>
  </w:style>
  <w:style w:type="paragraph" w:customStyle="1" w:styleId="20">
    <w:name w:val="Default Paragraph Font Para Char Char Char Char Char"/>
    <w:uiPriority w:val="0"/>
    <w:pPr>
      <w:tabs>
        <w:tab w:val="left" w:pos="1152"/>
      </w:tabs>
      <w:spacing w:before="120" w:after="120" w:line="312" w:lineRule="auto"/>
    </w:pPr>
    <w:rPr>
      <w:rFonts w:ascii="Arial" w:hAnsi="Arial" w:cs="Arial"/>
      <w:sz w:val="26"/>
      <w:szCs w:val="26"/>
      <w:lang w:val="en-US" w:eastAsia="en-US" w:bidi="ar-SA"/>
    </w:rPr>
  </w:style>
  <w:style w:type="paragraph" w:customStyle="1" w:styleId="21">
    <w:name w:val="Char"/>
    <w:basedOn w:val="1"/>
    <w:uiPriority w:val="0"/>
    <w:pPr>
      <w:spacing w:after="160" w:line="240" w:lineRule="exact"/>
    </w:pPr>
    <w:rPr>
      <w:rFonts w:ascii="Verdana" w:hAnsi="Verdana" w:cs="Verdana"/>
      <w:sz w:val="20"/>
      <w:szCs w:val="20"/>
    </w:rPr>
  </w:style>
  <w:style w:type="paragraph" w:customStyle="1" w:styleId="22">
    <w:name w:val="Char Char Char Char Char Char Char Char Char"/>
    <w:basedOn w:val="1"/>
    <w:semiHidden/>
    <w:uiPriority w:val="0"/>
    <w:pPr>
      <w:spacing w:after="160" w:line="240" w:lineRule="exact"/>
    </w:pPr>
    <w:rPr>
      <w:rFonts w:ascii="Arial" w:hAnsi="Arial"/>
      <w:sz w:val="22"/>
      <w:szCs w:val="22"/>
    </w:rPr>
  </w:style>
  <w:style w:type="paragraph" w:styleId="23">
    <w:name w:val="List Paragraph"/>
    <w:basedOn w:val="1"/>
    <w:qFormat/>
    <w:uiPriority w:val="34"/>
    <w:pPr>
      <w:ind w:left="720"/>
      <w:contextualSpacing/>
    </w:pPr>
  </w:style>
  <w:style w:type="character" w:customStyle="1" w:styleId="24">
    <w:name w:val="Body Text Indent 2 Char"/>
    <w:link w:val="7"/>
    <w:uiPriority w:val="0"/>
    <w:rPr>
      <w:rFonts w:ascii="Arial" w:hAnsi="Arial"/>
      <w:sz w:val="26"/>
      <w:szCs w:val="26"/>
      <w:lang w:val="en-US" w:eastAsia="en-US" w:bidi="ar-SA"/>
    </w:rPr>
  </w:style>
  <w:style w:type="character" w:customStyle="1" w:styleId="25">
    <w:name w:val="Header Char"/>
    <w:link w:val="9"/>
    <w:uiPriority w:val="99"/>
    <w:rPr>
      <w:sz w:val="24"/>
      <w:szCs w:val="24"/>
    </w:rPr>
  </w:style>
  <w:style w:type="character" w:customStyle="1" w:styleId="26">
    <w:name w:val="Footer Char"/>
    <w:link w:val="8"/>
    <w:uiPriority w:val="0"/>
    <w:rPr>
      <w:sz w:val="24"/>
      <w:szCs w:val="24"/>
    </w:rPr>
  </w:style>
  <w:style w:type="character" w:customStyle="1" w:styleId="27">
    <w:name w:val="Balloon Text Char"/>
    <w:link w:val="4"/>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1305</Words>
  <Characters>7445</Characters>
  <Lines>62</Lines>
  <Paragraphs>17</Paragraphs>
  <TotalTime>0</TotalTime>
  <ScaleCrop>false</ScaleCrop>
  <LinksUpToDate>false</LinksUpToDate>
  <CharactersWithSpaces>8733</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2020-06-25T04:36:00Z</dcterms:created>
  <dcterms:modified xsi:type="dcterms:W3CDTF">2020-10-26T08:20:45Z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