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0" w:type="auto"/>
        <w:tblInd w:w="0" w:type="dxa"/>
        <w:tblLayout w:type="autofit"/>
        <w:tblCellMar>
          <w:top w:w="0" w:type="dxa"/>
          <w:left w:w="108" w:type="dxa"/>
          <w:bottom w:w="0" w:type="dxa"/>
          <w:right w:w="108" w:type="dxa"/>
        </w:tblCellMar>
      </w:tblPr>
      <w:tblGrid>
        <w:gridCol w:w="3348"/>
        <w:gridCol w:w="5724"/>
      </w:tblGrid>
      <w:tr>
        <w:tblPrEx>
          <w:tblCellMar>
            <w:top w:w="0" w:type="dxa"/>
            <w:left w:w="108" w:type="dxa"/>
            <w:bottom w:w="0" w:type="dxa"/>
            <w:right w:w="108" w:type="dxa"/>
          </w:tblCellMar>
        </w:tblPrEx>
        <w:trPr>
          <w:wBefore w:w="0" w:type="dxa"/>
          <w:trHeight w:val="920" w:hRule="atLeast"/>
        </w:trPr>
        <w:tc>
          <w:tcPr>
            <w:tcW w:w="3348" w:type="dxa"/>
            <w:shd w:val="clear" w:color="auto" w:fill="auto"/>
            <w:noWrap w:val="0"/>
            <w:vAlign w:val="top"/>
          </w:tcPr>
          <w:p>
            <w:pPr>
              <w:jc w:val="center"/>
              <w:rPr>
                <w:rFonts w:ascii="Arial" w:hAnsi="Arial" w:cs="Arial"/>
                <w:b/>
                <w:sz w:val="20"/>
                <w:szCs w:val="20"/>
              </w:rPr>
            </w:pPr>
            <w:r>
              <w:rPr>
                <w:rFonts w:ascii="Arial" w:hAnsi="Arial" w:cs="Arial"/>
                <w:b/>
                <w:sz w:val="20"/>
                <w:szCs w:val="20"/>
              </w:rPr>
              <w:t xml:space="preserve">HỘI ĐỒNG NHÂN DÂN </w:t>
            </w:r>
            <w:r>
              <w:rPr>
                <w:rFonts w:ascii="Arial" w:hAnsi="Arial" w:cs="Arial"/>
                <w:b/>
                <w:sz w:val="20"/>
                <w:szCs w:val="20"/>
              </w:rPr>
              <w:br w:type="textWrapping"/>
            </w:r>
            <w:r>
              <w:rPr>
                <w:rFonts w:ascii="Arial" w:hAnsi="Arial" w:cs="Arial"/>
                <w:b/>
                <w:sz w:val="20"/>
                <w:szCs w:val="20"/>
              </w:rPr>
              <w:t>TỈNH BÌNH THUẬN</w:t>
            </w:r>
            <w:r>
              <w:rPr>
                <w:rFonts w:ascii="Arial" w:hAnsi="Arial" w:cs="Arial"/>
                <w:b/>
                <w:sz w:val="20"/>
                <w:szCs w:val="20"/>
              </w:rPr>
              <w:br w:type="textWrapping"/>
            </w:r>
            <w:r>
              <w:rPr>
                <w:rFonts w:ascii="Arial" w:hAnsi="Arial" w:cs="Arial"/>
                <w:b/>
                <w:sz w:val="20"/>
                <w:szCs w:val="20"/>
              </w:rPr>
              <w:t>--------</w:t>
            </w:r>
          </w:p>
          <w:p>
            <w:pPr>
              <w:jc w:val="center"/>
              <w:rPr>
                <w:rFonts w:ascii="Arial" w:hAnsi="Arial" w:cs="Arial"/>
                <w:b/>
                <w:sz w:val="20"/>
                <w:szCs w:val="20"/>
              </w:rPr>
            </w:pPr>
            <w:r>
              <w:rPr>
                <w:rFonts w:ascii="Arial" w:hAnsi="Arial" w:cs="Arial"/>
                <w:sz w:val="20"/>
                <w:szCs w:val="20"/>
              </w:rPr>
              <w:t>Số: 85/2019/NQ-HĐND</w:t>
            </w:r>
          </w:p>
        </w:tc>
        <w:tc>
          <w:tcPr>
            <w:tcW w:w="5724"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jc w:val="right"/>
              <w:rPr>
                <w:rFonts w:ascii="Arial" w:hAnsi="Arial" w:cs="Arial"/>
                <w:sz w:val="20"/>
                <w:szCs w:val="20"/>
              </w:rPr>
            </w:pPr>
            <w:r>
              <w:rPr>
                <w:rFonts w:ascii="Arial" w:hAnsi="Arial" w:cs="Arial"/>
                <w:i/>
                <w:sz w:val="20"/>
                <w:szCs w:val="20"/>
              </w:rPr>
              <w:t>Bình Thuận, ngày 19 tháng 12 năm 2019</w:t>
            </w:r>
          </w:p>
        </w:tc>
      </w:tr>
    </w:tbl>
    <w:p>
      <w:pPr>
        <w:rPr>
          <w:rFonts w:ascii="Arial" w:hAnsi="Arial" w:cs="Arial"/>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NGHỊ QUYẾT</w:t>
      </w:r>
    </w:p>
    <w:p>
      <w:pPr>
        <w:jc w:val="center"/>
        <w:rPr>
          <w:rFonts w:ascii="Arial" w:hAnsi="Arial" w:cs="Arial"/>
          <w:b/>
          <w:sz w:val="20"/>
          <w:szCs w:val="20"/>
        </w:rPr>
      </w:pPr>
      <w:r>
        <w:rPr>
          <w:rFonts w:ascii="Arial" w:hAnsi="Arial" w:cs="Arial"/>
          <w:b/>
          <w:sz w:val="20"/>
          <w:szCs w:val="20"/>
        </w:rPr>
        <w:t>VỀ THÔNG QUA BẢNG GIÁ CÁC LOẠI ĐẤT TRÊN ĐỊA BÀN TỈNH ÁP DỤNG TỪ NGÀY 01/01/2020 ĐẾN NGÀY 31/12/2024</w:t>
      </w:r>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HỘI ĐỒNG NHÂN DÂN TỈNH BÌNH THUẬN</w:t>
      </w:r>
      <w:r>
        <w:rPr>
          <w:rFonts w:ascii="Arial" w:hAnsi="Arial" w:cs="Arial"/>
          <w:sz w:val="20"/>
          <w:szCs w:val="20"/>
        </w:rPr>
        <w:br w:type="textWrapping"/>
      </w:r>
      <w:r>
        <w:rPr>
          <w:rFonts w:ascii="Arial" w:hAnsi="Arial" w:cs="Arial"/>
          <w:sz w:val="20"/>
          <w:szCs w:val="20"/>
        </w:rPr>
        <w:t>KHÓA X, KỲ HỌP THỨ 9</w:t>
      </w:r>
    </w:p>
    <w:p>
      <w:pPr>
        <w:jc w:val="center"/>
        <w:rPr>
          <w:rFonts w:ascii="Arial" w:hAnsi="Arial" w:cs="Arial"/>
          <w:b/>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bản quy phạm pháp luật ngày 22 tháng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Căn cứ Nghị định số 43/2014/NĐ-CP ngày 15 tháng 5 năm 2014 của Chính phủ về quy định chi tiết thi hành một số điều của Luật Đất đai năm 2013;</w:t>
      </w:r>
    </w:p>
    <w:p>
      <w:pPr>
        <w:spacing w:after="120"/>
        <w:ind w:firstLine="720"/>
        <w:jc w:val="both"/>
        <w:rPr>
          <w:rFonts w:ascii="Arial" w:hAnsi="Arial" w:cs="Arial"/>
          <w:i/>
          <w:sz w:val="20"/>
          <w:szCs w:val="20"/>
        </w:rPr>
      </w:pPr>
      <w:r>
        <w:rPr>
          <w:rFonts w:ascii="Arial" w:hAnsi="Arial" w:cs="Arial"/>
          <w:i/>
          <w:sz w:val="20"/>
          <w:szCs w:val="20"/>
        </w:rPr>
        <w:t>Căn cứ Nghị định số 44/2014/NĐ-CP ngày 15 tháng 05 năm 2014 của Chính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số 104/2014/NĐ-CP ngày 18 tháng 11 năm 2014 của Chính phủ quy định về khung giá đất;</w:t>
      </w:r>
    </w:p>
    <w:p>
      <w:pPr>
        <w:spacing w:after="120"/>
        <w:ind w:firstLine="720"/>
        <w:jc w:val="both"/>
        <w:rPr>
          <w:rFonts w:ascii="Arial" w:hAnsi="Arial" w:cs="Arial"/>
          <w:i/>
          <w:sz w:val="20"/>
          <w:szCs w:val="20"/>
        </w:rPr>
      </w:pPr>
      <w:r>
        <w:rPr>
          <w:rFonts w:ascii="Arial" w:hAnsi="Arial" w:cs="Arial"/>
          <w:i/>
          <w:sz w:val="20"/>
          <w:szCs w:val="20"/>
        </w:rPr>
        <w:t>Căn cứ Nghị định số 01/2017/NĐ-CP ngày 06 tháng 01 năm 2017 của Chính phủ ban hành về sửa đổi, bổ sung một số nghị định quy định chi tiết thi hành Luật Đất đai;</w:t>
      </w:r>
    </w:p>
    <w:p>
      <w:pPr>
        <w:spacing w:after="120"/>
        <w:ind w:firstLine="720"/>
        <w:jc w:val="both"/>
        <w:rPr>
          <w:rFonts w:ascii="Arial" w:hAnsi="Arial" w:cs="Arial"/>
          <w:i/>
          <w:sz w:val="20"/>
          <w:szCs w:val="20"/>
        </w:rPr>
      </w:pPr>
      <w:r>
        <w:rPr>
          <w:rFonts w:ascii="Arial" w:hAnsi="Arial" w:cs="Arial"/>
          <w:i/>
          <w:sz w:val="20"/>
          <w:szCs w:val="20"/>
        </w:rPr>
        <w:t>Căn cứ Thông tư số 36/2014/TT-BTNMT ngày 30 tháng 06 năm 2014 của Bộ Tài nguyên và Môi trưởng quy định chi tiết phương pháp định giá; xây dựng, điều chỉnh bảng giá đất; định giá đất cụ thể và tư vấn giá đất;</w:t>
      </w:r>
    </w:p>
    <w:p>
      <w:pPr>
        <w:spacing w:after="120"/>
        <w:ind w:firstLine="720"/>
        <w:jc w:val="both"/>
        <w:rPr>
          <w:rFonts w:ascii="Arial" w:hAnsi="Arial" w:cs="Arial"/>
          <w:i/>
          <w:sz w:val="20"/>
          <w:szCs w:val="20"/>
        </w:rPr>
      </w:pPr>
      <w:r>
        <w:rPr>
          <w:rFonts w:ascii="Arial" w:hAnsi="Arial" w:cs="Arial"/>
          <w:i/>
          <w:sz w:val="20"/>
          <w:szCs w:val="20"/>
        </w:rPr>
        <w:t>Xét Tờ trình số 4658/TTr-UBND ngày 06 tháng 12 năm 2019 của Ủy ban nhân dân tỉnh về việc thông qua Bảng giá các loại đất trên địa bàn tỉnh áp dụng từ ngày 01 tháng 01 năm 2020 đến ngày 31 tháng 12 năm 2024; Báo cáo thẩm tra số 148/BC-HĐND ngày 09 tháng 12 năm 2019 của Ban Kinh tế - Ngân sách Hội đồng nhân dân tỉnh; ý kiến thảo luận của đại biểu Hội đồng nhân dân tỉnh.</w:t>
      </w:r>
    </w:p>
    <w:p>
      <w:pPr>
        <w:jc w:val="center"/>
        <w:rPr>
          <w:rFonts w:ascii="Arial" w:hAnsi="Arial" w:cs="Arial"/>
          <w:b/>
          <w:sz w:val="20"/>
          <w:szCs w:val="20"/>
        </w:rPr>
      </w:pPr>
      <w:r>
        <w:rPr>
          <w:rFonts w:ascii="Arial" w:hAnsi="Arial" w:cs="Arial"/>
          <w:b/>
          <w:sz w:val="20"/>
          <w:szCs w:val="20"/>
        </w:rPr>
        <w:t>QUYẾT NGHỊ:</w:t>
      </w:r>
    </w:p>
    <w:p>
      <w:pPr>
        <w:jc w:val="center"/>
        <w:rPr>
          <w:rFonts w:ascii="Arial" w:hAnsi="Arial" w:cs="Arial"/>
          <w:b/>
          <w:sz w:val="20"/>
          <w:szCs w:val="20"/>
        </w:rPr>
      </w:pPr>
    </w:p>
    <w:p>
      <w:pPr>
        <w:spacing w:after="120"/>
        <w:ind w:firstLine="720"/>
        <w:jc w:val="both"/>
        <w:rPr>
          <w:rFonts w:ascii="Arial" w:hAnsi="Arial" w:cs="Arial"/>
          <w:sz w:val="20"/>
          <w:szCs w:val="20"/>
        </w:rPr>
      </w:pPr>
      <w:r>
        <w:rPr>
          <w:rFonts w:ascii="Arial" w:hAnsi="Arial" w:cs="Arial"/>
          <w:b/>
          <w:bCs/>
          <w:color w:val="000000"/>
          <w:sz w:val="20"/>
          <w:szCs w:val="20"/>
        </w:rPr>
        <w:t xml:space="preserve">Điều 1. </w:t>
      </w:r>
      <w:r>
        <w:rPr>
          <w:rFonts w:ascii="Arial" w:hAnsi="Arial" w:cs="Arial"/>
          <w:color w:val="000000"/>
          <w:sz w:val="20"/>
          <w:szCs w:val="20"/>
        </w:rPr>
        <w:t xml:space="preserve">Thông qua </w:t>
      </w:r>
      <w:r>
        <w:rPr>
          <w:rFonts w:ascii="Arial" w:hAnsi="Arial" w:cs="Arial"/>
          <w:sz w:val="20"/>
          <w:szCs w:val="20"/>
        </w:rPr>
        <w:t>Bảng giá các loại đất trên địa bàn tỉnh áp dụng từ ngày 01 tháng 01 năm 2020 đến ngày 31 tháng 12 năm 2024 (kèm theo bảng giá đất các loại).</w:t>
      </w:r>
    </w:p>
    <w:p>
      <w:pPr>
        <w:spacing w:after="120"/>
        <w:ind w:firstLine="720"/>
        <w:jc w:val="both"/>
        <w:rPr>
          <w:rFonts w:ascii="Arial" w:hAnsi="Arial" w:cs="Arial"/>
          <w:sz w:val="20"/>
          <w:szCs w:val="20"/>
          <w:lang w:val="nb-NO"/>
        </w:rPr>
      </w:pPr>
      <w:r>
        <w:rPr>
          <w:rFonts w:ascii="Arial" w:hAnsi="Arial" w:cs="Arial"/>
          <w:b/>
          <w:bCs/>
          <w:color w:val="000000"/>
          <w:sz w:val="20"/>
          <w:szCs w:val="20"/>
        </w:rPr>
        <w:t xml:space="preserve">Điều 2. </w:t>
      </w:r>
      <w:r>
        <w:rPr>
          <w:rFonts w:ascii="Arial" w:hAnsi="Arial" w:cs="Arial"/>
          <w:color w:val="000000"/>
          <w:sz w:val="20"/>
          <w:szCs w:val="20"/>
          <w:lang w:val="nb-NO"/>
        </w:rPr>
        <w:t>Trường hợp giá đất phổ biến trên thị trường có biến động, cần phải điều chỉnh, Ủy ban nhân dân tỉnh chỉ đạo Sở Tài nguyên và Môi trường và các sở, ngành liên quan xây dựng phương án điều chỉnh theo quy định</w:t>
      </w:r>
      <w:r>
        <w:rPr>
          <w:rFonts w:ascii="Arial" w:hAnsi="Arial" w:cs="Arial"/>
          <w:b/>
          <w:color w:val="000000"/>
          <w:sz w:val="20"/>
          <w:szCs w:val="20"/>
          <w:lang w:val="nb-NO"/>
        </w:rPr>
        <w:t xml:space="preserve"> </w:t>
      </w:r>
      <w:r>
        <w:rPr>
          <w:rFonts w:ascii="Arial" w:hAnsi="Arial" w:cs="Arial"/>
          <w:color w:val="000000"/>
          <w:sz w:val="20"/>
          <w:szCs w:val="20"/>
          <w:lang w:val="nb-NO"/>
        </w:rPr>
        <w:t xml:space="preserve">tại Điều 14 của </w:t>
      </w:r>
      <w:r>
        <w:rPr>
          <w:rFonts w:ascii="Arial" w:hAnsi="Arial" w:cs="Arial"/>
          <w:sz w:val="20"/>
          <w:szCs w:val="20"/>
          <w:lang w:val="nb-NO"/>
        </w:rPr>
        <w:t>Nghị định số 44/2014/NĐ-CP ngày 15/5/2014 của Chính phủ.</w:t>
      </w:r>
    </w:p>
    <w:p>
      <w:pPr>
        <w:autoSpaceDE w:val="0"/>
        <w:autoSpaceDN w:val="0"/>
        <w:adjustRightInd w:val="0"/>
        <w:spacing w:after="120"/>
        <w:ind w:firstLine="720"/>
        <w:jc w:val="both"/>
        <w:rPr>
          <w:rFonts w:ascii="Arial" w:hAnsi="Arial" w:cs="Arial"/>
          <w:bCs/>
          <w:sz w:val="20"/>
          <w:szCs w:val="20"/>
          <w:lang w:val="nl-NL"/>
        </w:rPr>
      </w:pPr>
      <w:r>
        <w:rPr>
          <w:rFonts w:ascii="Arial" w:hAnsi="Arial" w:cs="Arial"/>
          <w:b/>
          <w:bCs/>
          <w:sz w:val="20"/>
          <w:szCs w:val="20"/>
          <w:lang w:val="nl-NL"/>
        </w:rPr>
        <w:t>Điều 3. Tổ chức thực hi</w:t>
      </w:r>
      <w:bookmarkStart w:id="0" w:name="_GoBack"/>
      <w:bookmarkEnd w:id="0"/>
      <w:r>
        <w:rPr>
          <w:rFonts w:ascii="Arial" w:hAnsi="Arial" w:cs="Arial"/>
          <w:b/>
          <w:bCs/>
          <w:sz w:val="20"/>
          <w:szCs w:val="20"/>
          <w:lang w:val="nl-NL"/>
        </w:rPr>
        <w:t>ện</w:t>
      </w:r>
    </w:p>
    <w:p>
      <w:pPr>
        <w:autoSpaceDE w:val="0"/>
        <w:autoSpaceDN w:val="0"/>
        <w:adjustRightInd w:val="0"/>
        <w:spacing w:after="120"/>
        <w:ind w:firstLine="720"/>
        <w:jc w:val="both"/>
        <w:rPr>
          <w:rFonts w:ascii="Arial" w:hAnsi="Arial" w:cs="Arial"/>
          <w:sz w:val="20"/>
          <w:szCs w:val="20"/>
          <w:lang w:val="nl-NL"/>
        </w:rPr>
      </w:pPr>
      <w:r>
        <w:rPr>
          <w:rFonts w:ascii="Arial" w:hAnsi="Arial" w:cs="Arial"/>
          <w:bCs/>
          <w:sz w:val="20"/>
          <w:szCs w:val="20"/>
          <w:lang w:val="nl-NL"/>
        </w:rPr>
        <w:t xml:space="preserve">1. </w:t>
      </w:r>
      <w:r>
        <w:rPr>
          <w:rFonts w:ascii="Arial" w:hAnsi="Arial" w:cs="Arial"/>
          <w:sz w:val="20"/>
          <w:szCs w:val="20"/>
          <w:lang w:val="vi-VN"/>
        </w:rPr>
        <w:t>Giao Ủy ban nhân dân tỉnh tổ chức thực hiện Nghị quyết này.</w:t>
      </w:r>
    </w:p>
    <w:p>
      <w:pPr>
        <w:pStyle w:val="14"/>
        <w:shd w:val="clear" w:color="auto" w:fill="FFFFFF"/>
        <w:spacing w:before="0" w:beforeAutospacing="0" w:after="120" w:afterAutospacing="0"/>
        <w:ind w:firstLine="720"/>
        <w:jc w:val="both"/>
        <w:rPr>
          <w:rFonts w:ascii="Arial" w:hAnsi="Arial" w:cs="Arial"/>
          <w:sz w:val="20"/>
          <w:szCs w:val="20"/>
          <w:lang w:val="pl-PL"/>
        </w:rPr>
      </w:pPr>
      <w:r>
        <w:rPr>
          <w:rFonts w:ascii="Arial" w:hAnsi="Arial" w:cs="Arial"/>
          <w:sz w:val="20"/>
          <w:szCs w:val="20"/>
          <w:lang w:val="nl-NL"/>
        </w:rPr>
        <w:t>2. Thường trực Hội đồng nhân dân tỉnh, các Ban Hội đồng nhân dân tỉnh, các Tổ đại biểu Hội đồng nhân dân tỉnh và đại biểu Hội đồng nhân dân tỉnh giám sát việc thực hiện Nghị quyết này</w:t>
      </w:r>
      <w:r>
        <w:rPr>
          <w:rFonts w:ascii="Arial" w:hAnsi="Arial" w:cs="Arial"/>
          <w:sz w:val="20"/>
          <w:szCs w:val="20"/>
          <w:lang w:val="pl-PL"/>
        </w:rPr>
        <w:t>.</w:t>
      </w:r>
    </w:p>
    <w:p>
      <w:pPr>
        <w:ind w:firstLine="720"/>
        <w:jc w:val="both"/>
        <w:rPr>
          <w:rFonts w:ascii="Arial" w:hAnsi="Arial" w:cs="Arial"/>
          <w:color w:val="000000"/>
          <w:sz w:val="20"/>
          <w:szCs w:val="20"/>
        </w:rPr>
      </w:pPr>
      <w:r>
        <w:rPr>
          <w:rFonts w:ascii="Arial" w:hAnsi="Arial" w:cs="Arial"/>
          <w:sz w:val="20"/>
          <w:szCs w:val="20"/>
          <w:lang w:val="nl-NL"/>
        </w:rPr>
        <w:t>Nghị quyết này đã được Hội đồng nhân dân tỉnh Khóa X, kỳ họp thứ 9 thông qua ngày 17 tháng 12 năm 2019 và có hiệu lực từ ngày 01 tháng 01 năm 2020.</w:t>
      </w:r>
      <w:r>
        <w:rPr>
          <w:rFonts w:ascii="Arial" w:hAnsi="Arial" w:cs="Arial"/>
          <w:color w:val="000000"/>
          <w:sz w:val="20"/>
          <w:szCs w:val="20"/>
          <w:lang w:val="vi-VN"/>
        </w:rPr>
        <w:t>/.</w:t>
      </w:r>
    </w:p>
    <w:p>
      <w:pPr>
        <w:rPr>
          <w:rFonts w:ascii="Arial" w:hAnsi="Arial" w:cs="Arial"/>
          <w:color w:val="000000"/>
          <w:sz w:val="20"/>
          <w:szCs w:val="20"/>
        </w:rPr>
      </w:pPr>
    </w:p>
    <w:tbl>
      <w:tblPr>
        <w:tblStyle w:val="24"/>
        <w:tblW w:w="0" w:type="auto"/>
        <w:tblInd w:w="0" w:type="dxa"/>
        <w:tblLayout w:type="fixed"/>
        <w:tblCellMar>
          <w:top w:w="0" w:type="dxa"/>
          <w:left w:w="108" w:type="dxa"/>
          <w:bottom w:w="0" w:type="dxa"/>
          <w:right w:w="108" w:type="dxa"/>
        </w:tblCellMar>
      </w:tblPr>
      <w:tblGrid>
        <w:gridCol w:w="5122"/>
        <w:gridCol w:w="3882"/>
      </w:tblGrid>
      <w:tr>
        <w:tblPrEx>
          <w:tblCellMar>
            <w:top w:w="0" w:type="dxa"/>
            <w:left w:w="108" w:type="dxa"/>
            <w:bottom w:w="0" w:type="dxa"/>
            <w:right w:w="108" w:type="dxa"/>
          </w:tblCellMar>
        </w:tblPrEx>
        <w:trPr>
          <w:wBefore w:w="0" w:type="dxa"/>
          <w:wAfter w:w="0" w:type="dxa"/>
        </w:trPr>
        <w:tc>
          <w:tcPr>
            <w:tcW w:w="5122" w:type="dxa"/>
            <w:noWrap w:val="0"/>
            <w:vAlign w:val="top"/>
          </w:tcPr>
          <w:p>
            <w:pPr>
              <w:rPr>
                <w:rFonts w:ascii="Arial" w:hAnsi="Arial" w:cs="Arial"/>
                <w:color w:val="000000"/>
                <w:sz w:val="20"/>
                <w:szCs w:val="20"/>
              </w:rPr>
            </w:pPr>
            <w:r>
              <w:rPr>
                <w:rFonts w:ascii="Arial" w:hAnsi="Arial" w:cs="Arial"/>
                <w:b/>
                <w:bCs/>
                <w:i/>
                <w:iCs/>
                <w:color w:val="000000"/>
                <w:sz w:val="20"/>
                <w:szCs w:val="20"/>
                <w:lang w:val="vi-VN"/>
              </w:rPr>
              <w:t>Nơi nhận:</w:t>
            </w:r>
            <w:r>
              <w:rPr>
                <w:rFonts w:ascii="Arial" w:hAnsi="Arial" w:cs="Arial"/>
                <w:b/>
                <w:bCs/>
                <w:i/>
                <w:iCs/>
                <w:color w:val="000000"/>
                <w:sz w:val="20"/>
                <w:szCs w:val="20"/>
              </w:rPr>
              <w:br w:type="textWrapping"/>
            </w:r>
            <w:r>
              <w:rPr>
                <w:rFonts w:ascii="Arial" w:hAnsi="Arial" w:cs="Arial"/>
                <w:color w:val="000000"/>
                <w:sz w:val="20"/>
                <w:szCs w:val="20"/>
                <w:lang w:val="vi-VN"/>
              </w:rPr>
              <w:t>- Ủy ban Thường vụ Quốc hội;</w:t>
            </w:r>
            <w:r>
              <w:rPr>
                <w:rFonts w:ascii="Arial" w:hAnsi="Arial" w:cs="Arial"/>
                <w:color w:val="000000"/>
                <w:sz w:val="20"/>
                <w:szCs w:val="20"/>
                <w:lang w:val="vi-VN"/>
              </w:rPr>
              <w:br w:type="textWrapping"/>
            </w:r>
            <w:r>
              <w:rPr>
                <w:rFonts w:ascii="Arial" w:hAnsi="Arial" w:cs="Arial"/>
                <w:color w:val="000000"/>
                <w:sz w:val="20"/>
                <w:szCs w:val="20"/>
                <w:lang w:val="vi-VN"/>
              </w:rPr>
              <w:t>- Chính phủ;</w:t>
            </w:r>
            <w:r>
              <w:rPr>
                <w:rFonts w:ascii="Arial" w:hAnsi="Arial" w:cs="Arial"/>
                <w:color w:val="000000"/>
                <w:sz w:val="20"/>
                <w:szCs w:val="20"/>
              </w:rPr>
              <w:br w:type="textWrapping"/>
            </w:r>
            <w:r>
              <w:rPr>
                <w:rFonts w:ascii="Arial" w:hAnsi="Arial" w:cs="Arial"/>
                <w:color w:val="000000"/>
                <w:sz w:val="20"/>
                <w:szCs w:val="20"/>
              </w:rPr>
              <w:t>- Bộ Tài nguyên và Môi trường;</w:t>
            </w:r>
            <w:r>
              <w:rPr>
                <w:rFonts w:ascii="Arial" w:hAnsi="Arial" w:cs="Arial"/>
                <w:color w:val="000000"/>
                <w:sz w:val="20"/>
                <w:szCs w:val="20"/>
              </w:rPr>
              <w:br w:type="textWrapping"/>
            </w:r>
            <w:r>
              <w:rPr>
                <w:rFonts w:ascii="Arial" w:hAnsi="Arial" w:cs="Arial"/>
                <w:color w:val="000000"/>
                <w:sz w:val="20"/>
                <w:szCs w:val="20"/>
              </w:rPr>
              <w:t>- Bộ Tài chính;</w:t>
            </w:r>
            <w:r>
              <w:rPr>
                <w:rFonts w:ascii="Arial" w:hAnsi="Arial" w:cs="Arial"/>
                <w:color w:val="000000"/>
                <w:sz w:val="20"/>
                <w:szCs w:val="20"/>
              </w:rPr>
              <w:br w:type="textWrapping"/>
            </w:r>
            <w:r>
              <w:rPr>
                <w:rFonts w:ascii="Arial" w:hAnsi="Arial" w:cs="Arial"/>
                <w:color w:val="000000"/>
                <w:sz w:val="20"/>
                <w:szCs w:val="20"/>
                <w:lang w:val="vi-VN"/>
              </w:rPr>
              <w:t>- Ban Công tác Đại biểu - UBTV Quốc hội;</w:t>
            </w:r>
            <w:r>
              <w:rPr>
                <w:rFonts w:ascii="Arial" w:hAnsi="Arial" w:cs="Arial"/>
                <w:color w:val="000000"/>
                <w:sz w:val="20"/>
                <w:szCs w:val="20"/>
                <w:lang w:val="vi-VN"/>
              </w:rPr>
              <w:br w:type="textWrapping"/>
            </w:r>
            <w:r>
              <w:rPr>
                <w:rFonts w:ascii="Arial" w:hAnsi="Arial" w:cs="Arial"/>
                <w:color w:val="000000"/>
                <w:sz w:val="20"/>
                <w:szCs w:val="20"/>
                <w:lang w:val="vi-VN"/>
              </w:rPr>
              <w:t>- Thường trực Tỉnh ủy;</w:t>
            </w:r>
            <w:r>
              <w:rPr>
                <w:rFonts w:ascii="Arial" w:hAnsi="Arial" w:cs="Arial"/>
                <w:color w:val="000000"/>
                <w:sz w:val="20"/>
                <w:szCs w:val="20"/>
                <w:lang w:val="vi-VN"/>
              </w:rPr>
              <w:br w:type="textWrapping"/>
            </w:r>
            <w:r>
              <w:rPr>
                <w:rFonts w:ascii="Arial" w:hAnsi="Arial" w:cs="Arial"/>
                <w:color w:val="000000"/>
                <w:sz w:val="20"/>
                <w:szCs w:val="20"/>
                <w:lang w:val="vi-VN"/>
              </w:rPr>
              <w:t>- Thường trực HĐND, UBND,</w:t>
            </w:r>
            <w:r>
              <w:rPr>
                <w:rFonts w:ascii="Arial" w:hAnsi="Arial" w:cs="Arial"/>
                <w:color w:val="000000"/>
                <w:sz w:val="20"/>
                <w:szCs w:val="20"/>
              </w:rPr>
              <w:br w:type="textWrapping"/>
            </w:r>
            <w:r>
              <w:rPr>
                <w:rFonts w:ascii="Arial" w:hAnsi="Arial" w:cs="Arial"/>
                <w:color w:val="000000"/>
                <w:sz w:val="20"/>
                <w:szCs w:val="20"/>
              </w:rPr>
              <w:t xml:space="preserve">Ban Thường trực </w:t>
            </w:r>
            <w:r>
              <w:rPr>
                <w:rFonts w:ascii="Arial" w:hAnsi="Arial" w:cs="Arial"/>
                <w:color w:val="000000"/>
                <w:sz w:val="20"/>
                <w:szCs w:val="20"/>
                <w:lang w:val="vi-VN"/>
              </w:rPr>
              <w:t>UBMTTQVN tỉnh;</w:t>
            </w:r>
            <w:r>
              <w:rPr>
                <w:rFonts w:ascii="Arial" w:hAnsi="Arial" w:cs="Arial"/>
                <w:color w:val="000000"/>
                <w:sz w:val="20"/>
                <w:szCs w:val="20"/>
                <w:lang w:val="vi-VN"/>
              </w:rPr>
              <w:br w:type="textWrapping"/>
            </w:r>
            <w:r>
              <w:rPr>
                <w:rFonts w:ascii="Arial" w:hAnsi="Arial" w:cs="Arial"/>
                <w:color w:val="000000"/>
                <w:sz w:val="20"/>
                <w:szCs w:val="20"/>
                <w:lang w:val="vi-VN"/>
              </w:rPr>
              <w:t>- Đoàn ĐBQH đơn vị tỉnh Bình Thuận;</w:t>
            </w:r>
            <w:r>
              <w:rPr>
                <w:rFonts w:ascii="Arial" w:hAnsi="Arial" w:cs="Arial"/>
                <w:color w:val="000000"/>
                <w:sz w:val="20"/>
                <w:szCs w:val="20"/>
                <w:lang w:val="vi-VN"/>
              </w:rPr>
              <w:br w:type="textWrapping"/>
            </w:r>
            <w:r>
              <w:rPr>
                <w:rFonts w:ascii="Arial" w:hAnsi="Arial" w:cs="Arial"/>
                <w:color w:val="000000"/>
                <w:sz w:val="20"/>
                <w:szCs w:val="20"/>
                <w:lang w:val="vi-VN"/>
              </w:rPr>
              <w:t>- Các Ban HĐND tỉnh;</w:t>
            </w:r>
            <w:r>
              <w:rPr>
                <w:rFonts w:ascii="Arial" w:hAnsi="Arial" w:cs="Arial"/>
                <w:color w:val="000000"/>
                <w:sz w:val="20"/>
                <w:szCs w:val="20"/>
                <w:lang w:val="vi-VN"/>
              </w:rPr>
              <w:br w:type="textWrapping"/>
            </w:r>
            <w:r>
              <w:rPr>
                <w:rFonts w:ascii="Arial" w:hAnsi="Arial" w:cs="Arial"/>
                <w:color w:val="000000"/>
                <w:sz w:val="20"/>
                <w:szCs w:val="20"/>
                <w:lang w:val="vi-VN"/>
              </w:rPr>
              <w:t>- Đại biểu HĐND tỉnh;</w:t>
            </w:r>
            <w:r>
              <w:rPr>
                <w:rFonts w:ascii="Arial" w:hAnsi="Arial" w:cs="Arial"/>
                <w:color w:val="000000"/>
                <w:sz w:val="20"/>
                <w:szCs w:val="20"/>
                <w:lang w:val="vi-VN"/>
              </w:rPr>
              <w:br w:type="textWrapping"/>
            </w:r>
            <w:r>
              <w:rPr>
                <w:rFonts w:ascii="Arial" w:hAnsi="Arial" w:cs="Arial"/>
                <w:color w:val="000000"/>
                <w:sz w:val="20"/>
                <w:szCs w:val="20"/>
                <w:lang w:val="vi-VN"/>
              </w:rPr>
              <w:t>- Các sở, ban, ngành và đoàn thể tỉnh;</w:t>
            </w:r>
            <w:r>
              <w:rPr>
                <w:rFonts w:ascii="Arial" w:hAnsi="Arial" w:cs="Arial"/>
                <w:color w:val="000000"/>
                <w:sz w:val="20"/>
                <w:szCs w:val="20"/>
                <w:lang w:val="vi-VN"/>
              </w:rPr>
              <w:br w:type="textWrapping"/>
            </w:r>
            <w:r>
              <w:rPr>
                <w:rFonts w:ascii="Arial" w:hAnsi="Arial" w:cs="Arial"/>
                <w:color w:val="000000"/>
                <w:sz w:val="20"/>
                <w:szCs w:val="20"/>
                <w:lang w:val="vi-VN"/>
              </w:rPr>
              <w:t>- Các Văn phòng: HĐND tỉnh, UBND tỉnh;</w:t>
            </w:r>
            <w:r>
              <w:rPr>
                <w:rFonts w:ascii="Arial" w:hAnsi="Arial" w:cs="Arial"/>
                <w:color w:val="000000"/>
                <w:sz w:val="20"/>
                <w:szCs w:val="20"/>
                <w:lang w:val="vi-VN"/>
              </w:rPr>
              <w:br w:type="textWrapping"/>
            </w:r>
            <w:r>
              <w:rPr>
                <w:rFonts w:ascii="Arial" w:hAnsi="Arial" w:cs="Arial"/>
                <w:color w:val="000000"/>
                <w:sz w:val="20"/>
                <w:szCs w:val="20"/>
                <w:lang w:val="vi-VN"/>
              </w:rPr>
              <w:t>- HĐND và UBND các huyện, thị xã, thành phố;</w:t>
            </w:r>
            <w:r>
              <w:rPr>
                <w:rFonts w:ascii="Arial" w:hAnsi="Arial" w:cs="Arial"/>
                <w:color w:val="000000"/>
                <w:sz w:val="20"/>
                <w:szCs w:val="20"/>
              </w:rPr>
              <w:br w:type="textWrapping"/>
            </w:r>
            <w:r>
              <w:rPr>
                <w:rFonts w:ascii="Arial" w:hAnsi="Arial" w:cs="Arial"/>
                <w:color w:val="000000"/>
                <w:sz w:val="20"/>
                <w:szCs w:val="20"/>
              </w:rPr>
              <w:t>- Website Chính phủ;</w:t>
            </w:r>
            <w:r>
              <w:rPr>
                <w:rFonts w:ascii="Arial" w:hAnsi="Arial" w:cs="Arial"/>
                <w:color w:val="000000"/>
                <w:sz w:val="20"/>
                <w:szCs w:val="20"/>
              </w:rPr>
              <w:br w:type="textWrapping"/>
            </w:r>
            <w:r>
              <w:rPr>
                <w:rFonts w:ascii="Arial" w:hAnsi="Arial" w:cs="Arial"/>
                <w:color w:val="000000"/>
                <w:sz w:val="20"/>
                <w:szCs w:val="20"/>
                <w:lang w:val="vi-VN"/>
              </w:rPr>
              <w:t>- Trung tâm</w:t>
            </w:r>
            <w:r>
              <w:rPr>
                <w:rFonts w:ascii="Arial" w:hAnsi="Arial" w:cs="Arial"/>
                <w:color w:val="000000"/>
                <w:sz w:val="20"/>
                <w:szCs w:val="20"/>
              </w:rPr>
              <w:t xml:space="preserve"> Thông tin</w:t>
            </w:r>
            <w:r>
              <w:rPr>
                <w:rFonts w:ascii="Arial" w:hAnsi="Arial" w:cs="Arial"/>
                <w:color w:val="000000"/>
                <w:sz w:val="20"/>
                <w:szCs w:val="20"/>
                <w:lang w:val="vi-VN"/>
              </w:rPr>
              <w:t xml:space="preserve"> tỉnh;</w:t>
            </w:r>
            <w:r>
              <w:rPr>
                <w:rFonts w:ascii="Arial" w:hAnsi="Arial" w:cs="Arial"/>
                <w:color w:val="000000"/>
                <w:sz w:val="20"/>
                <w:szCs w:val="20"/>
                <w:lang w:val="vi-VN"/>
              </w:rPr>
              <w:br w:type="textWrapping"/>
            </w:r>
            <w:r>
              <w:rPr>
                <w:rFonts w:ascii="Arial" w:hAnsi="Arial" w:cs="Arial"/>
                <w:color w:val="000000"/>
                <w:sz w:val="20"/>
                <w:szCs w:val="20"/>
              </w:rPr>
              <w:t>- Lưu: VT. TH (Tấn Duy 09b)</w:t>
            </w:r>
          </w:p>
        </w:tc>
        <w:tc>
          <w:tcPr>
            <w:tcW w:w="3882" w:type="dxa"/>
            <w:noWrap w:val="0"/>
            <w:vAlign w:val="top"/>
          </w:tcPr>
          <w:p>
            <w:pPr>
              <w:jc w:val="center"/>
              <w:rPr>
                <w:rFonts w:ascii="Arial" w:hAnsi="Arial" w:cs="Arial"/>
                <w:color w:val="000000"/>
                <w:sz w:val="20"/>
                <w:szCs w:val="20"/>
              </w:rPr>
            </w:pPr>
            <w:r>
              <w:rPr>
                <w:rFonts w:ascii="Arial" w:hAnsi="Arial" w:cs="Arial"/>
                <w:b/>
                <w:bCs/>
                <w:color w:val="000000"/>
                <w:sz w:val="20"/>
                <w:szCs w:val="20"/>
              </w:rPr>
              <w:t>CHỦ TỊCH</w:t>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t>Nguyễn Mạnh Hùng</w:t>
            </w:r>
          </w:p>
        </w:tc>
      </w:tr>
    </w:tbl>
    <w:p>
      <w:pPr>
        <w:rPr>
          <w:rFonts w:ascii="Arial" w:hAnsi="Arial" w:cs="Arial"/>
          <w:sz w:val="20"/>
          <w:szCs w:val="20"/>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r>
              <w:rPr>
                <w:rFonts w:ascii="Arial" w:hAnsi="Arial" w:cs="Arial"/>
                <w:b/>
                <w:color w:val="FF0000"/>
                <w:sz w:val="20"/>
                <w:szCs w:val="20"/>
                <w:lang w:val="nb-NO"/>
              </w:rPr>
              <w:t>FILE ĐƯỢC ĐÍNH KÈM THEO VĂN BẢN</w:t>
            </w:r>
          </w:p>
          <w:p>
            <w:pPr>
              <w:jc w:val="center"/>
              <w:rPr>
                <w:rFonts w:ascii="Arial" w:hAnsi="Arial" w:cs="Arial"/>
                <w:b/>
                <w:color w:val="FF0000"/>
                <w:sz w:val="20"/>
                <w:szCs w:val="20"/>
                <w:lang w:val="nb-NO"/>
              </w:rPr>
            </w:pPr>
            <w:r>
              <w:rPr>
                <w:rFonts w:ascii="Arial" w:hAnsi="Arial" w:cs="Arial"/>
                <w:b/>
                <w:color w:val="FF0000"/>
                <w:sz w:val="20"/>
                <w:szCs w:val="20"/>
                <w:lang w:val="nb-NO"/>
              </w:rPr>
              <w:object>
                <v:shape id="_x0000_i1026" o:spt="75" type="#_x0000_t75" style="height:50pt;width:77.2pt;" o:ole="t" filled="f" stroked="f" coordsize="21600,21600">
                  <v:path/>
                  <v:fill on="f" focussize="0,0"/>
                  <v:stroke on="f"/>
                  <v:imagedata r:id="rId5" o:title=""/>
                  <o:lock v:ext="edit" aspectratio="t"/>
                  <w10:wrap type="none"/>
                  <w10:anchorlock/>
                </v:shape>
                <o:OLEObject Type="Embed" ProgID="Package" ShapeID="_x0000_i1026" DrawAspect="Icon" ObjectID="_1468075725" r:id="rId4">
                  <o:LockedField>false</o:LockedField>
                </o:OLEObject>
              </w:objec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VnArial">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1" w:usb1="08070000" w:usb2="00000010" w:usb3="00000000" w:csb0="0002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C55D4"/>
    <w:rsid w:val="000D1017"/>
    <w:rsid w:val="000D2E8A"/>
    <w:rsid w:val="000D2FE9"/>
    <w:rsid w:val="00106246"/>
    <w:rsid w:val="00116018"/>
    <w:rsid w:val="00134E9C"/>
    <w:rsid w:val="001625E7"/>
    <w:rsid w:val="001C4CE4"/>
    <w:rsid w:val="001C5873"/>
    <w:rsid w:val="001D08FA"/>
    <w:rsid w:val="001F3251"/>
    <w:rsid w:val="00201C87"/>
    <w:rsid w:val="002309D2"/>
    <w:rsid w:val="00232C82"/>
    <w:rsid w:val="00255FD2"/>
    <w:rsid w:val="002B10BA"/>
    <w:rsid w:val="002B3DF5"/>
    <w:rsid w:val="0031309C"/>
    <w:rsid w:val="003253E8"/>
    <w:rsid w:val="0035207A"/>
    <w:rsid w:val="00356DB4"/>
    <w:rsid w:val="00391330"/>
    <w:rsid w:val="0039176C"/>
    <w:rsid w:val="003A22DE"/>
    <w:rsid w:val="003A6991"/>
    <w:rsid w:val="003B145F"/>
    <w:rsid w:val="003D1BA0"/>
    <w:rsid w:val="003D572C"/>
    <w:rsid w:val="003E1FF7"/>
    <w:rsid w:val="003E5132"/>
    <w:rsid w:val="003F0558"/>
    <w:rsid w:val="00435C20"/>
    <w:rsid w:val="0044551E"/>
    <w:rsid w:val="00454FDF"/>
    <w:rsid w:val="00462F71"/>
    <w:rsid w:val="004644EC"/>
    <w:rsid w:val="00464BD3"/>
    <w:rsid w:val="00472398"/>
    <w:rsid w:val="004A2454"/>
    <w:rsid w:val="004B15F3"/>
    <w:rsid w:val="004D0E95"/>
    <w:rsid w:val="004E10C2"/>
    <w:rsid w:val="004F1DFF"/>
    <w:rsid w:val="004F49DA"/>
    <w:rsid w:val="004F6C05"/>
    <w:rsid w:val="005063C7"/>
    <w:rsid w:val="00537409"/>
    <w:rsid w:val="00571491"/>
    <w:rsid w:val="00580F1C"/>
    <w:rsid w:val="005C0105"/>
    <w:rsid w:val="005C23A9"/>
    <w:rsid w:val="005C46DD"/>
    <w:rsid w:val="005C5851"/>
    <w:rsid w:val="005E0D51"/>
    <w:rsid w:val="005E1CF2"/>
    <w:rsid w:val="005E3E48"/>
    <w:rsid w:val="005E5EA0"/>
    <w:rsid w:val="005F09D2"/>
    <w:rsid w:val="00631356"/>
    <w:rsid w:val="00684D50"/>
    <w:rsid w:val="006857AE"/>
    <w:rsid w:val="00691A0E"/>
    <w:rsid w:val="00694870"/>
    <w:rsid w:val="00697D32"/>
    <w:rsid w:val="006B56E9"/>
    <w:rsid w:val="006B5B47"/>
    <w:rsid w:val="006D629F"/>
    <w:rsid w:val="006E4EFA"/>
    <w:rsid w:val="00701746"/>
    <w:rsid w:val="00727E20"/>
    <w:rsid w:val="0073167C"/>
    <w:rsid w:val="00736929"/>
    <w:rsid w:val="00754BEF"/>
    <w:rsid w:val="00757048"/>
    <w:rsid w:val="00764FBE"/>
    <w:rsid w:val="00767B10"/>
    <w:rsid w:val="007708E1"/>
    <w:rsid w:val="007767E6"/>
    <w:rsid w:val="00795EDD"/>
    <w:rsid w:val="00800CD8"/>
    <w:rsid w:val="008255D0"/>
    <w:rsid w:val="008878FD"/>
    <w:rsid w:val="00890F08"/>
    <w:rsid w:val="008B34E1"/>
    <w:rsid w:val="008C34C9"/>
    <w:rsid w:val="008D0F45"/>
    <w:rsid w:val="008E3795"/>
    <w:rsid w:val="008F2151"/>
    <w:rsid w:val="0091028B"/>
    <w:rsid w:val="009304DB"/>
    <w:rsid w:val="00930ABD"/>
    <w:rsid w:val="009474B2"/>
    <w:rsid w:val="00954369"/>
    <w:rsid w:val="0096767E"/>
    <w:rsid w:val="00992964"/>
    <w:rsid w:val="00993BD4"/>
    <w:rsid w:val="0099426C"/>
    <w:rsid w:val="009A0F85"/>
    <w:rsid w:val="009A7BD5"/>
    <w:rsid w:val="009B40E1"/>
    <w:rsid w:val="009B492B"/>
    <w:rsid w:val="009B5CF2"/>
    <w:rsid w:val="009B638E"/>
    <w:rsid w:val="009D7087"/>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46044"/>
    <w:rsid w:val="00BA3E4F"/>
    <w:rsid w:val="00BE4492"/>
    <w:rsid w:val="00BF7A1B"/>
    <w:rsid w:val="00C14477"/>
    <w:rsid w:val="00C641CB"/>
    <w:rsid w:val="00C671C2"/>
    <w:rsid w:val="00C74E0E"/>
    <w:rsid w:val="00C814A5"/>
    <w:rsid w:val="00C91815"/>
    <w:rsid w:val="00CA5C3A"/>
    <w:rsid w:val="00CB1084"/>
    <w:rsid w:val="00CB2D39"/>
    <w:rsid w:val="00CB70B0"/>
    <w:rsid w:val="00CC510D"/>
    <w:rsid w:val="00D03A89"/>
    <w:rsid w:val="00D469F9"/>
    <w:rsid w:val="00DC26F8"/>
    <w:rsid w:val="00DE4615"/>
    <w:rsid w:val="00E15357"/>
    <w:rsid w:val="00E3591F"/>
    <w:rsid w:val="00E410C4"/>
    <w:rsid w:val="00E73911"/>
    <w:rsid w:val="00E924A5"/>
    <w:rsid w:val="00EA0280"/>
    <w:rsid w:val="00EB3332"/>
    <w:rsid w:val="00EB783F"/>
    <w:rsid w:val="00ED4686"/>
    <w:rsid w:val="00EE46E5"/>
    <w:rsid w:val="00EF490C"/>
    <w:rsid w:val="00F303CD"/>
    <w:rsid w:val="00F31855"/>
    <w:rsid w:val="00F43977"/>
    <w:rsid w:val="00F44D85"/>
    <w:rsid w:val="00F7621C"/>
    <w:rsid w:val="00F86CFF"/>
    <w:rsid w:val="00FA60DB"/>
    <w:rsid w:val="00FF66EE"/>
    <w:rsid w:val="676D49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43"/>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44"/>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45"/>
    <w:qFormat/>
    <w:uiPriority w:val="0"/>
    <w:pPr>
      <w:keepNext/>
      <w:spacing w:before="240" w:after="60"/>
      <w:outlineLvl w:val="2"/>
    </w:pPr>
    <w:rPr>
      <w:rFonts w:ascii="Arial" w:hAnsi="Arial" w:cs="Arial"/>
      <w:b/>
      <w:bCs/>
      <w:sz w:val="26"/>
      <w:szCs w:val="26"/>
    </w:rPr>
  </w:style>
  <w:style w:type="paragraph" w:styleId="5">
    <w:name w:val="heading 4"/>
    <w:basedOn w:val="1"/>
    <w:next w:val="1"/>
    <w:link w:val="46"/>
    <w:qFormat/>
    <w:uiPriority w:val="0"/>
    <w:pPr>
      <w:keepNext/>
      <w:outlineLvl w:val="3"/>
    </w:pPr>
    <w:rPr>
      <w:rFonts w:ascii=".VnArial" w:hAnsi=".VnArial"/>
      <w:b/>
      <w:bCs/>
      <w:sz w:val="28"/>
    </w:rPr>
  </w:style>
  <w:style w:type="character" w:default="1" w:styleId="17">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trPr>
      <w:wBefore w:w="0" w:type="dxa"/>
    </w:trPr>
  </w:style>
  <w:style w:type="paragraph" w:styleId="6">
    <w:name w:val="Balloon Text"/>
    <w:basedOn w:val="1"/>
    <w:link w:val="58"/>
    <w:uiPriority w:val="0"/>
    <w:rPr>
      <w:rFonts w:ascii="Tahoma" w:hAnsi="Tahoma" w:cs="Tahoma"/>
      <w:sz w:val="16"/>
      <w:szCs w:val="16"/>
    </w:rPr>
  </w:style>
  <w:style w:type="paragraph" w:styleId="7">
    <w:name w:val="Body Text"/>
    <w:basedOn w:val="1"/>
    <w:link w:val="49"/>
    <w:qFormat/>
    <w:uiPriority w:val="0"/>
    <w:pPr>
      <w:autoSpaceDE w:val="0"/>
      <w:autoSpaceDN w:val="0"/>
      <w:jc w:val="both"/>
    </w:pPr>
    <w:rPr>
      <w:rFonts w:ascii=".VnTime" w:hAnsi=".VnTime" w:cs=".VnTime"/>
      <w:sz w:val="28"/>
      <w:szCs w:val="28"/>
      <w:lang w:val="en-GB"/>
    </w:rPr>
  </w:style>
  <w:style w:type="paragraph" w:styleId="8">
    <w:name w:val="Body Text 2"/>
    <w:basedOn w:val="1"/>
    <w:link w:val="61"/>
    <w:uiPriority w:val="0"/>
    <w:pPr>
      <w:spacing w:after="120" w:line="480" w:lineRule="auto"/>
    </w:pPr>
    <w:rPr>
      <w:rFonts w:ascii=".VnTime" w:hAnsi=".VnTime"/>
      <w:sz w:val="28"/>
      <w:szCs w:val="28"/>
    </w:rPr>
  </w:style>
  <w:style w:type="paragraph" w:styleId="9">
    <w:name w:val="Body Text Indent"/>
    <w:basedOn w:val="1"/>
    <w:link w:val="65"/>
    <w:uiPriority w:val="0"/>
    <w:pPr>
      <w:spacing w:after="120"/>
      <w:ind w:left="360"/>
    </w:pPr>
    <w:rPr>
      <w:rFonts w:ascii=".VnTime" w:hAnsi=".VnTime"/>
    </w:rPr>
  </w:style>
  <w:style w:type="paragraph" w:styleId="10">
    <w:name w:val="annotation text"/>
    <w:basedOn w:val="1"/>
    <w:link w:val="63"/>
    <w:uiPriority w:val="0"/>
    <w:rPr>
      <w:sz w:val="20"/>
      <w:szCs w:val="20"/>
    </w:rPr>
  </w:style>
  <w:style w:type="paragraph" w:styleId="11">
    <w:name w:val="annotation subject"/>
    <w:basedOn w:val="10"/>
    <w:next w:val="10"/>
    <w:link w:val="64"/>
    <w:uiPriority w:val="0"/>
    <w:rPr>
      <w:b/>
      <w:bCs/>
    </w:rPr>
  </w:style>
  <w:style w:type="paragraph" w:styleId="12">
    <w:name w:val="footer"/>
    <w:basedOn w:val="1"/>
    <w:link w:val="48"/>
    <w:uiPriority w:val="0"/>
    <w:pPr>
      <w:tabs>
        <w:tab w:val="center" w:pos="4320"/>
        <w:tab w:val="right" w:pos="8640"/>
      </w:tabs>
    </w:pPr>
  </w:style>
  <w:style w:type="paragraph" w:styleId="13">
    <w:name w:val="header"/>
    <w:basedOn w:val="1"/>
    <w:link w:val="47"/>
    <w:uiPriority w:val="0"/>
    <w:pPr>
      <w:tabs>
        <w:tab w:val="center" w:pos="4320"/>
        <w:tab w:val="right" w:pos="8640"/>
      </w:tabs>
    </w:pPr>
  </w:style>
  <w:style w:type="paragraph" w:styleId="14">
    <w:name w:val="Normal (Web)"/>
    <w:basedOn w:val="1"/>
    <w:unhideWhenUsed/>
    <w:uiPriority w:val="0"/>
    <w:pPr>
      <w:spacing w:before="100" w:beforeAutospacing="1" w:after="100" w:afterAutospacing="1"/>
    </w:pPr>
    <w:rPr>
      <w:rFonts w:eastAsia="Times New Roman"/>
    </w:rPr>
  </w:style>
  <w:style w:type="paragraph" w:styleId="15">
    <w:name w:val="Title"/>
    <w:basedOn w:val="1"/>
    <w:link w:val="55"/>
    <w:qFormat/>
    <w:uiPriority w:val="0"/>
    <w:pPr>
      <w:jc w:val="center"/>
    </w:pPr>
    <w:rPr>
      <w:b/>
      <w:bCs/>
      <w:sz w:val="32"/>
      <w:szCs w:val="32"/>
      <w:lang w:val="nl-NL"/>
    </w:rPr>
  </w:style>
  <w:style w:type="paragraph" w:styleId="16">
    <w:name w:val="toc 1"/>
    <w:basedOn w:val="1"/>
    <w:next w:val="1"/>
    <w:uiPriority w:val="0"/>
    <w:pPr>
      <w:spacing w:before="120" w:after="120" w:line="360" w:lineRule="exact"/>
    </w:pPr>
    <w:rPr>
      <w:b/>
      <w:i/>
      <w:sz w:val="28"/>
    </w:rPr>
  </w:style>
  <w:style w:type="character" w:styleId="18">
    <w:name w:val="annotation reference"/>
    <w:uiPriority w:val="0"/>
    <w:rPr>
      <w:sz w:val="16"/>
      <w:szCs w:val="16"/>
    </w:rPr>
  </w:style>
  <w:style w:type="character" w:styleId="19">
    <w:name w:val="Emphasis"/>
    <w:qFormat/>
    <w:uiPriority w:val="0"/>
    <w:rPr>
      <w:i/>
      <w:iCs/>
    </w:rPr>
  </w:style>
  <w:style w:type="character" w:styleId="20">
    <w:name w:val="FollowedHyperlink"/>
    <w:uiPriority w:val="0"/>
    <w:rPr>
      <w:color w:val="800080"/>
      <w:u w:val="single"/>
    </w:rPr>
  </w:style>
  <w:style w:type="character" w:styleId="21">
    <w:name w:val="Hyperlink"/>
    <w:unhideWhenUsed/>
    <w:uiPriority w:val="99"/>
    <w:rPr>
      <w:color w:val="0000FF"/>
      <w:u w:val="single"/>
    </w:rPr>
  </w:style>
  <w:style w:type="character" w:styleId="22">
    <w:name w:val="page number"/>
    <w:uiPriority w:val="0"/>
  </w:style>
  <w:style w:type="character" w:styleId="23">
    <w:name w:val="Strong"/>
    <w:qFormat/>
    <w:uiPriority w:val="0"/>
    <w:rPr>
      <w:b/>
      <w:bCs/>
    </w:rPr>
  </w:style>
  <w:style w:type="table" w:styleId="25">
    <w:name w:val="Table Grid"/>
    <w:basedOn w:val="24"/>
    <w:uiPriority w:val="0"/>
    <w:rPr>
      <w:rFonts w:ascii="Courier New" w:hAnsi="Courier New"/>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Heading #1"/>
    <w:basedOn w:val="1"/>
    <w:link w:val="50"/>
    <w:uiPriority w:val="99"/>
    <w:pPr>
      <w:widowControl w:val="0"/>
      <w:shd w:val="clear" w:color="auto" w:fill="FFFFFF"/>
      <w:spacing w:after="250" w:line="266" w:lineRule="auto"/>
      <w:ind w:right="60"/>
      <w:jc w:val="center"/>
      <w:outlineLvl w:val="0"/>
    </w:pPr>
    <w:rPr>
      <w:b/>
      <w:bCs/>
      <w:sz w:val="26"/>
      <w:szCs w:val="26"/>
    </w:rPr>
  </w:style>
  <w:style w:type="paragraph" w:customStyle="1" w:styleId="27">
    <w:name w:val="Picture caption"/>
    <w:basedOn w:val="1"/>
    <w:link w:val="51"/>
    <w:uiPriority w:val="99"/>
    <w:pPr>
      <w:widowControl w:val="0"/>
      <w:shd w:val="clear" w:color="auto" w:fill="FFFFFF"/>
    </w:pPr>
    <w:rPr>
      <w:b/>
      <w:bCs/>
      <w:sz w:val="26"/>
      <w:szCs w:val="26"/>
    </w:rPr>
  </w:style>
  <w:style w:type="paragraph" w:customStyle="1" w:styleId="28">
    <w:name w:val="Body text (2)"/>
    <w:basedOn w:val="1"/>
    <w:link w:val="52"/>
    <w:uiPriority w:val="99"/>
    <w:pPr>
      <w:widowControl w:val="0"/>
      <w:shd w:val="clear" w:color="auto" w:fill="FFFFFF"/>
      <w:spacing w:line="262" w:lineRule="auto"/>
      <w:ind w:left="640" w:hanging="120"/>
    </w:pPr>
    <w:rPr>
      <w:sz w:val="20"/>
      <w:szCs w:val="20"/>
    </w:rPr>
  </w:style>
  <w:style w:type="paragraph" w:customStyle="1" w:styleId="29">
    <w:name w:val=" 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0">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1">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styleId="32">
    <w:name w:val="List Paragraph"/>
    <w:basedOn w:val="1"/>
    <w:qFormat/>
    <w:uiPriority w:val="34"/>
    <w:pPr>
      <w:ind w:left="720"/>
      <w:contextualSpacing/>
    </w:pPr>
  </w:style>
  <w:style w:type="paragraph" w:styleId="33">
    <w:name w:val=""/>
    <w:basedOn w:val="2"/>
    <w:next w:val="1"/>
    <w:qFormat/>
    <w:uiPriority w:val="39"/>
    <w:pPr>
      <w:keepLines/>
      <w:spacing w:before="480" w:after="0" w:line="276" w:lineRule="auto"/>
      <w:outlineLvl w:val="9"/>
    </w:pPr>
    <w:rPr>
      <w:color w:val="365F91"/>
      <w:kern w:val="0"/>
      <w:sz w:val="28"/>
      <w:szCs w:val="28"/>
    </w:rPr>
  </w:style>
  <w:style w:type="paragraph" w:customStyle="1" w:styleId="34">
    <w:name w:val="Char"/>
    <w:basedOn w:val="1"/>
    <w:uiPriority w:val="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35">
    <w:name w:val="heading sample"/>
    <w:basedOn w:val="1"/>
    <w:uiPriority w:val="0"/>
    <w:pPr>
      <w:keepNext/>
      <w:spacing w:before="240" w:after="240"/>
    </w:pPr>
    <w:rPr>
      <w:bCs/>
      <w:iCs/>
      <w:sz w:val="20"/>
      <w:szCs w:val="20"/>
      <w:lang w:eastAsia="ko-KR"/>
    </w:rPr>
  </w:style>
  <w:style w:type="paragraph" w:customStyle="1" w:styleId="36">
    <w:name w:val=" Char Char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37">
    <w:name w:val=" Char Char2 Char Char"/>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38">
    <w:name w:val=" 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9">
    <w:name w:val="L1"/>
    <w:basedOn w:val="1"/>
    <w:uiPriority w:val="0"/>
    <w:pPr>
      <w:spacing w:before="60" w:after="60"/>
      <w:jc w:val="center"/>
    </w:pPr>
    <w:rPr>
      <w:b/>
      <w:sz w:val="28"/>
      <w:szCs w:val="36"/>
    </w:rPr>
  </w:style>
  <w:style w:type="paragraph" w:customStyle="1" w:styleId="40">
    <w:name w:val="L"/>
    <w:basedOn w:val="1"/>
    <w:uiPriority w:val="0"/>
    <w:pPr>
      <w:jc w:val="center"/>
    </w:pPr>
    <w:rPr>
      <w:b/>
      <w:bCs/>
      <w:sz w:val="38"/>
      <w:szCs w:val="44"/>
    </w:rPr>
  </w:style>
  <w:style w:type="paragraph" w:customStyle="1" w:styleId="41">
    <w:name w:val=" Char Char Char Char"/>
    <w:basedOn w:val="1"/>
    <w:semiHidden/>
    <w:uiPriority w:val="0"/>
    <w:pPr>
      <w:spacing w:after="160" w:line="240" w:lineRule="exact"/>
    </w:pPr>
    <w:rPr>
      <w:rFonts w:ascii="Arial" w:hAnsi="Arial"/>
      <w:sz w:val="22"/>
      <w:szCs w:val="22"/>
    </w:rPr>
  </w:style>
  <w:style w:type="paragraph" w:customStyle="1" w:styleId="42">
    <w:name w:val="rtejustify"/>
    <w:basedOn w:val="1"/>
    <w:uiPriority w:val="0"/>
    <w:pPr>
      <w:spacing w:before="100" w:beforeAutospacing="1" w:after="100" w:afterAutospacing="1"/>
    </w:pPr>
    <w:rPr>
      <w:lang w:val="vi-VN" w:eastAsia="vi-VN"/>
    </w:rPr>
  </w:style>
  <w:style w:type="character" w:customStyle="1" w:styleId="43">
    <w:name w:val="Heading 1 Char"/>
    <w:link w:val="2"/>
    <w:uiPriority w:val="0"/>
    <w:rPr>
      <w:rFonts w:ascii="Cambria" w:hAnsi="Cambria"/>
      <w:b/>
      <w:bCs/>
      <w:kern w:val="32"/>
      <w:sz w:val="32"/>
      <w:szCs w:val="32"/>
    </w:rPr>
  </w:style>
  <w:style w:type="character" w:customStyle="1" w:styleId="44">
    <w:name w:val="Heading 2 Char"/>
    <w:link w:val="3"/>
    <w:uiPriority w:val="0"/>
    <w:rPr>
      <w:rFonts w:ascii="Arial" w:hAnsi="Arial" w:cs="Arial"/>
      <w:b/>
      <w:bCs/>
      <w:i/>
      <w:iCs/>
      <w:sz w:val="28"/>
      <w:szCs w:val="28"/>
    </w:rPr>
  </w:style>
  <w:style w:type="character" w:customStyle="1" w:styleId="45">
    <w:name w:val="Heading 3 Char"/>
    <w:link w:val="4"/>
    <w:uiPriority w:val="0"/>
    <w:rPr>
      <w:rFonts w:ascii="Arial" w:hAnsi="Arial" w:cs="Arial"/>
      <w:b/>
      <w:bCs/>
      <w:sz w:val="26"/>
      <w:szCs w:val="26"/>
    </w:rPr>
  </w:style>
  <w:style w:type="character" w:customStyle="1" w:styleId="46">
    <w:name w:val="Heading 4 Char"/>
    <w:link w:val="5"/>
    <w:uiPriority w:val="0"/>
    <w:rPr>
      <w:rFonts w:ascii=".VnArial" w:hAnsi=".VnArial"/>
      <w:b/>
      <w:bCs/>
      <w:sz w:val="28"/>
      <w:szCs w:val="24"/>
    </w:rPr>
  </w:style>
  <w:style w:type="character" w:customStyle="1" w:styleId="47">
    <w:name w:val="Header Char"/>
    <w:link w:val="13"/>
    <w:uiPriority w:val="0"/>
    <w:rPr>
      <w:sz w:val="24"/>
      <w:szCs w:val="24"/>
    </w:rPr>
  </w:style>
  <w:style w:type="character" w:customStyle="1" w:styleId="48">
    <w:name w:val="Footer Char"/>
    <w:link w:val="12"/>
    <w:uiPriority w:val="0"/>
    <w:rPr>
      <w:sz w:val="24"/>
      <w:szCs w:val="24"/>
    </w:rPr>
  </w:style>
  <w:style w:type="character" w:customStyle="1" w:styleId="49">
    <w:name w:val="Body Text Char1"/>
    <w:link w:val="7"/>
    <w:locked/>
    <w:uiPriority w:val="99"/>
    <w:rPr>
      <w:rFonts w:ascii=".VnTime" w:hAnsi=".VnTime" w:cs=".VnTime"/>
      <w:sz w:val="28"/>
      <w:szCs w:val="28"/>
      <w:lang w:val="en-GB"/>
    </w:rPr>
  </w:style>
  <w:style w:type="character" w:customStyle="1" w:styleId="50">
    <w:name w:val="Heading #1_"/>
    <w:link w:val="26"/>
    <w:locked/>
    <w:uiPriority w:val="99"/>
    <w:rPr>
      <w:b/>
      <w:bCs/>
      <w:sz w:val="26"/>
      <w:szCs w:val="26"/>
      <w:shd w:val="clear" w:color="auto" w:fill="FFFFFF"/>
    </w:rPr>
  </w:style>
  <w:style w:type="character" w:customStyle="1" w:styleId="51">
    <w:name w:val="Picture caption_"/>
    <w:link w:val="27"/>
    <w:locked/>
    <w:uiPriority w:val="99"/>
    <w:rPr>
      <w:b/>
      <w:bCs/>
      <w:sz w:val="26"/>
      <w:szCs w:val="26"/>
      <w:shd w:val="clear" w:color="auto" w:fill="FFFFFF"/>
    </w:rPr>
  </w:style>
  <w:style w:type="character" w:customStyle="1" w:styleId="52">
    <w:name w:val="Body text (2)_"/>
    <w:link w:val="28"/>
    <w:locked/>
    <w:uiPriority w:val="99"/>
    <w:rPr>
      <w:shd w:val="clear" w:color="auto" w:fill="FFFFFF"/>
    </w:rPr>
  </w:style>
  <w:style w:type="character" w:customStyle="1" w:styleId="53">
    <w:name w:val="Body Text Char"/>
    <w:semiHidden/>
    <w:uiPriority w:val="99"/>
    <w:rPr>
      <w:color w:val="000000"/>
      <w:lang w:val="vi-VN" w:eastAsia="vi-VN"/>
    </w:rPr>
  </w:style>
  <w:style w:type="character" w:customStyle="1" w:styleId="54">
    <w:name w:val="Body Text Char2"/>
    <w:semiHidden/>
    <w:uiPriority w:val="99"/>
    <w:rPr>
      <w:rFonts w:cs="Courier New"/>
      <w:color w:val="000000"/>
      <w:lang w:val="vi-VN" w:eastAsia="vi-VN"/>
    </w:rPr>
  </w:style>
  <w:style w:type="character" w:customStyle="1" w:styleId="55">
    <w:name w:val="Title Char"/>
    <w:link w:val="15"/>
    <w:uiPriority w:val="0"/>
    <w:rPr>
      <w:b/>
      <w:bCs/>
      <w:sz w:val="32"/>
      <w:szCs w:val="32"/>
      <w:lang w:val="nl-NL"/>
    </w:rPr>
  </w:style>
  <w:style w:type="character" w:customStyle="1" w:styleId="56">
    <w:name w:val="apple-style-span"/>
    <w:uiPriority w:val="0"/>
  </w:style>
  <w:style w:type="character" w:customStyle="1" w:styleId="57">
    <w:name w:val="apple-converted-space"/>
    <w:uiPriority w:val="0"/>
  </w:style>
  <w:style w:type="character" w:customStyle="1" w:styleId="58">
    <w:name w:val="Balloon Text Char"/>
    <w:link w:val="6"/>
    <w:uiPriority w:val="0"/>
    <w:rPr>
      <w:rFonts w:ascii="Tahoma" w:hAnsi="Tahoma" w:cs="Tahoma"/>
      <w:sz w:val="16"/>
      <w:szCs w:val="16"/>
    </w:rPr>
  </w:style>
  <w:style w:type="character" w:customStyle="1" w:styleId="59">
    <w:name w:val=" Char Char3"/>
    <w:uiPriority w:val="0"/>
    <w:rPr>
      <w:rFonts w:ascii="Tahoma" w:hAnsi="Tahoma" w:cs="Tahoma"/>
      <w:sz w:val="16"/>
      <w:szCs w:val="16"/>
      <w:lang w:val="en-US" w:eastAsia="en-US" w:bidi="ar-SA"/>
    </w:rPr>
  </w:style>
  <w:style w:type="character" w:customStyle="1" w:styleId="60">
    <w:name w:val=" Char Char8"/>
    <w:uiPriority w:val="0"/>
    <w:rPr>
      <w:rFonts w:ascii="Cambria" w:hAnsi="Cambria"/>
      <w:b/>
      <w:bCs/>
      <w:kern w:val="32"/>
      <w:sz w:val="32"/>
      <w:szCs w:val="32"/>
      <w:lang w:val="en-US" w:eastAsia="en-US" w:bidi="ar-SA"/>
    </w:rPr>
  </w:style>
  <w:style w:type="character" w:customStyle="1" w:styleId="61">
    <w:name w:val="Body Text 2 Char"/>
    <w:link w:val="8"/>
    <w:uiPriority w:val="0"/>
    <w:rPr>
      <w:rFonts w:ascii=".VnTime" w:hAnsi=".VnTime"/>
      <w:sz w:val="28"/>
      <w:szCs w:val="28"/>
    </w:rPr>
  </w:style>
  <w:style w:type="character" w:customStyle="1" w:styleId="62">
    <w:name w:val="slimspacer1"/>
    <w:uiPriority w:val="0"/>
    <w:rPr>
      <w:rFonts w:hint="default" w:ascii="Verdana" w:hAnsi="Verdana"/>
      <w:color w:val="121212"/>
      <w:sz w:val="13"/>
      <w:szCs w:val="13"/>
    </w:rPr>
  </w:style>
  <w:style w:type="character" w:customStyle="1" w:styleId="63">
    <w:name w:val="Comment Text Char"/>
    <w:basedOn w:val="17"/>
    <w:link w:val="10"/>
    <w:uiPriority w:val="0"/>
  </w:style>
  <w:style w:type="character" w:customStyle="1" w:styleId="64">
    <w:name w:val="Comment Subject Char"/>
    <w:link w:val="11"/>
    <w:uiPriority w:val="0"/>
    <w:rPr>
      <w:b/>
      <w:bCs/>
    </w:rPr>
  </w:style>
  <w:style w:type="character" w:customStyle="1" w:styleId="65">
    <w:name w:val="Body Text Indent Char"/>
    <w:link w:val="9"/>
    <w:uiPriority w:val="0"/>
    <w:rPr>
      <w:rFonts w:ascii=".VnTime" w:hAnsi=".VnTime"/>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INCOM</Company>
  <Pages>2</Pages>
  <Words>464</Words>
  <Characters>2646</Characters>
  <Lines>22</Lines>
  <Paragraphs>6</Paragraphs>
  <TotalTime>0</TotalTime>
  <ScaleCrop>false</ScaleCrop>
  <LinksUpToDate>false</LinksUpToDate>
  <CharactersWithSpaces>3104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2020-06-05T09:51:00Z</dcterms:created>
  <dc:creator>dqhoa</dc:creator>
  <cp:lastModifiedBy>idollawkun</cp:lastModifiedBy>
  <dcterms:modified xsi:type="dcterms:W3CDTF">2020-10-26T07:59:35Z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