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0" w:type="dxa"/>
        <w:tblLayout w:type="autofit"/>
        <w:tblCellMar>
          <w:top w:w="0" w:type="dxa"/>
          <w:left w:w="108" w:type="dxa"/>
          <w:bottom w:w="0" w:type="dxa"/>
          <w:right w:w="108" w:type="dxa"/>
        </w:tblCellMar>
      </w:tblPr>
      <w:tblGrid>
        <w:gridCol w:w="3283"/>
        <w:gridCol w:w="5357"/>
      </w:tblGrid>
      <w:tr>
        <w:tblPrEx>
          <w:tblCellMar>
            <w:top w:w="0" w:type="dxa"/>
            <w:left w:w="108" w:type="dxa"/>
            <w:bottom w:w="0" w:type="dxa"/>
            <w:right w:w="108" w:type="dxa"/>
          </w:tblCellMar>
        </w:tblPrEx>
        <w:trPr>
          <w:wBefore w:w="0" w:type="dxa"/>
          <w:trHeight w:val="920" w:hRule="atLeast"/>
        </w:trPr>
        <w:tc>
          <w:tcPr>
            <w:tcW w:w="3283" w:type="dxa"/>
            <w:shd w:val="clear" w:color="auto" w:fill="auto"/>
            <w:noWrap w:val="0"/>
            <w:vAlign w:val="top"/>
          </w:tcPr>
          <w:p>
            <w:pPr>
              <w:jc w:val="center"/>
              <w:rPr>
                <w:rFonts w:ascii="Arial" w:hAnsi="Arial" w:cs="Arial"/>
                <w:b/>
                <w:sz w:val="20"/>
                <w:szCs w:val="20"/>
              </w:rPr>
            </w:pPr>
            <w:r>
              <w:rPr>
                <w:rFonts w:ascii="Arial" w:hAnsi="Arial" w:cs="Arial"/>
                <w:b/>
                <w:sz w:val="20"/>
                <w:szCs w:val="20"/>
              </w:rPr>
              <w:t xml:space="preserve">ỦY BAN NHÂN DÂN </w:t>
            </w:r>
            <w:r>
              <w:rPr>
                <w:rFonts w:ascii="Arial" w:hAnsi="Arial" w:cs="Arial"/>
                <w:b/>
                <w:sz w:val="20"/>
                <w:szCs w:val="20"/>
              </w:rPr>
              <w:br w:type="textWrapping"/>
            </w:r>
            <w:r>
              <w:rPr>
                <w:rFonts w:ascii="Arial" w:hAnsi="Arial" w:cs="Arial"/>
                <w:b/>
                <w:sz w:val="20"/>
                <w:szCs w:val="20"/>
              </w:rPr>
              <w:t>TỈNH QUẢNG BÌNH</w:t>
            </w:r>
            <w:r>
              <w:rPr>
                <w:rFonts w:ascii="Arial" w:hAnsi="Arial" w:cs="Arial"/>
                <w:b/>
                <w:sz w:val="20"/>
                <w:szCs w:val="20"/>
              </w:rPr>
              <w:br w:type="textWrapping"/>
            </w:r>
            <w:r>
              <w:rPr>
                <w:rFonts w:ascii="Arial" w:hAnsi="Arial" w:cs="Arial"/>
                <w:b/>
                <w:sz w:val="20"/>
                <w:szCs w:val="20"/>
              </w:rPr>
              <w:t>--------</w:t>
            </w:r>
          </w:p>
          <w:p>
            <w:pPr>
              <w:jc w:val="center"/>
              <w:rPr>
                <w:rFonts w:ascii="Arial" w:hAnsi="Arial" w:cs="Arial"/>
                <w:b/>
                <w:sz w:val="20"/>
                <w:szCs w:val="20"/>
              </w:rPr>
            </w:pPr>
            <w:r>
              <w:rPr>
                <w:rFonts w:ascii="Arial" w:hAnsi="Arial" w:cs="Arial"/>
                <w:sz w:val="20"/>
                <w:szCs w:val="20"/>
              </w:rPr>
              <w:t>Số: 40/2019/QĐ-UBND</w:t>
            </w:r>
          </w:p>
        </w:tc>
        <w:tc>
          <w:tcPr>
            <w:tcW w:w="5357" w:type="dxa"/>
            <w:shd w:val="clear" w:color="auto" w:fill="auto"/>
            <w:noWrap w:val="0"/>
            <w:vAlign w:val="top"/>
          </w:tcPr>
          <w:p>
            <w:pPr>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Độc lập - Tự do - Hạnh phúc</w:t>
            </w:r>
            <w:r>
              <w:rPr>
                <w:rFonts w:ascii="Arial" w:hAnsi="Arial" w:cs="Arial"/>
                <w:b/>
                <w:sz w:val="20"/>
                <w:szCs w:val="20"/>
              </w:rPr>
              <w:br w:type="textWrapping"/>
            </w:r>
            <w:r>
              <w:rPr>
                <w:rFonts w:ascii="Arial" w:hAnsi="Arial" w:cs="Arial"/>
                <w:b/>
                <w:sz w:val="20"/>
                <w:szCs w:val="20"/>
              </w:rPr>
              <w:t>---------------</w:t>
            </w:r>
          </w:p>
          <w:p>
            <w:pPr>
              <w:ind w:firstLine="567"/>
              <w:jc w:val="right"/>
              <w:rPr>
                <w:rFonts w:ascii="Arial" w:hAnsi="Arial" w:cs="Arial"/>
                <w:sz w:val="20"/>
                <w:szCs w:val="20"/>
              </w:rPr>
            </w:pPr>
            <w:r>
              <w:rPr>
                <w:rFonts w:ascii="Arial" w:hAnsi="Arial" w:cs="Arial"/>
                <w:i/>
                <w:sz w:val="20"/>
                <w:szCs w:val="20"/>
              </w:rPr>
              <w:t>Quảng Bình, ngày 20 tháng 12 năm 2019</w:t>
            </w:r>
          </w:p>
        </w:tc>
      </w:tr>
    </w:tbl>
    <w:p>
      <w:pPr>
        <w:rPr>
          <w:rFonts w:ascii="Arial" w:hAnsi="Arial" w:cs="Arial"/>
          <w:sz w:val="20"/>
          <w:szCs w:val="20"/>
        </w:rPr>
      </w:pPr>
    </w:p>
    <w:p>
      <w:pPr>
        <w:jc w:val="center"/>
        <w:rPr>
          <w:rFonts w:ascii="Arial" w:hAnsi="Arial" w:cs="Arial"/>
          <w:b/>
          <w:sz w:val="20"/>
          <w:szCs w:val="20"/>
        </w:rPr>
      </w:pPr>
    </w:p>
    <w:p>
      <w:pPr>
        <w:jc w:val="center"/>
        <w:rPr>
          <w:rFonts w:ascii="Arial" w:hAnsi="Arial" w:cs="Arial"/>
          <w:b/>
          <w:sz w:val="20"/>
          <w:szCs w:val="20"/>
        </w:rPr>
      </w:pPr>
      <w:r>
        <w:rPr>
          <w:rFonts w:ascii="Arial" w:hAnsi="Arial" w:cs="Arial"/>
          <w:b/>
          <w:sz w:val="20"/>
          <w:szCs w:val="20"/>
        </w:rPr>
        <w:t>QUYẾT ĐỊNH</w:t>
      </w:r>
    </w:p>
    <w:p>
      <w:pPr>
        <w:jc w:val="center"/>
        <w:rPr>
          <w:rFonts w:ascii="Arial" w:hAnsi="Arial" w:cs="Arial"/>
          <w:b/>
          <w:sz w:val="20"/>
          <w:szCs w:val="20"/>
        </w:rPr>
      </w:pPr>
      <w:r>
        <w:rPr>
          <w:rFonts w:ascii="Arial" w:hAnsi="Arial" w:cs="Arial"/>
          <w:b/>
          <w:sz w:val="20"/>
          <w:szCs w:val="20"/>
        </w:rPr>
        <w:t>QUY ĐỊNH BẢNG GIÁ CÁC LOẠI ĐẤT TRÊN ĐỊA BÀN TỈNH QUẢNG BÌNH GIAI ĐOẠN 2020 – 2024</w:t>
      </w:r>
    </w:p>
    <w:p>
      <w:pPr>
        <w:jc w:val="center"/>
        <w:rPr>
          <w:rFonts w:ascii="Arial" w:hAnsi="Arial" w:cs="Arial"/>
          <w:b/>
          <w:sz w:val="20"/>
          <w:szCs w:val="20"/>
        </w:rPr>
      </w:pPr>
      <w:r>
        <w:rPr>
          <w:rFonts w:ascii="Arial" w:hAnsi="Arial" w:cs="Arial"/>
          <w:b/>
          <w:sz w:val="20"/>
          <w:szCs w:val="20"/>
        </w:rPr>
        <w:t>-------------</w:t>
      </w:r>
    </w:p>
    <w:p>
      <w:pPr>
        <w:jc w:val="center"/>
        <w:rPr>
          <w:rFonts w:ascii="Arial" w:hAnsi="Arial" w:cs="Arial"/>
          <w:sz w:val="20"/>
          <w:szCs w:val="20"/>
        </w:rPr>
      </w:pPr>
      <w:r>
        <w:rPr>
          <w:rFonts w:ascii="Arial" w:hAnsi="Arial" w:cs="Arial"/>
          <w:sz w:val="20"/>
          <w:szCs w:val="20"/>
        </w:rPr>
        <w:t>ỦY BAN NHÂN DÂN TỈNH QUẢNG BÌNH</w:t>
      </w:r>
    </w:p>
    <w:p>
      <w:pPr>
        <w:jc w:val="center"/>
        <w:rPr>
          <w:rFonts w:ascii="Arial" w:hAnsi="Arial" w:cs="Arial"/>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chính quyền địa phương ngày 19 tháng 6 năm 2015;</w:t>
      </w:r>
    </w:p>
    <w:p>
      <w:pPr>
        <w:spacing w:after="120"/>
        <w:ind w:firstLine="720"/>
        <w:jc w:val="both"/>
        <w:rPr>
          <w:rFonts w:ascii="Arial" w:hAnsi="Arial" w:cs="Arial"/>
          <w:i/>
          <w:sz w:val="20"/>
          <w:szCs w:val="20"/>
        </w:rPr>
      </w:pPr>
      <w:r>
        <w:rPr>
          <w:rFonts w:ascii="Arial" w:hAnsi="Arial" w:cs="Arial"/>
          <w:i/>
          <w:sz w:val="20"/>
          <w:szCs w:val="20"/>
        </w:rPr>
        <w:t>Căn cứ Luật Ban hành văn bản quy phạm pháp luật ngày 22 tháng 6 năm 2015;</w:t>
      </w:r>
    </w:p>
    <w:p>
      <w:pPr>
        <w:spacing w:after="120"/>
        <w:ind w:firstLine="720"/>
        <w:jc w:val="both"/>
        <w:rPr>
          <w:rFonts w:ascii="Arial" w:hAnsi="Arial" w:cs="Arial"/>
          <w:i/>
          <w:sz w:val="20"/>
          <w:szCs w:val="20"/>
        </w:rPr>
      </w:pPr>
      <w:r>
        <w:rPr>
          <w:rFonts w:ascii="Arial" w:hAnsi="Arial" w:cs="Arial"/>
          <w:i/>
          <w:sz w:val="20"/>
          <w:szCs w:val="20"/>
        </w:rPr>
        <w:t>Căn cứ Luật Đất đai ngày 29 tháng 11 năm 2013;</w:t>
      </w:r>
    </w:p>
    <w:p>
      <w:pPr>
        <w:spacing w:after="120"/>
        <w:ind w:firstLine="720"/>
        <w:jc w:val="both"/>
        <w:rPr>
          <w:rFonts w:ascii="Arial" w:hAnsi="Arial" w:cs="Arial"/>
          <w:i/>
          <w:sz w:val="20"/>
          <w:szCs w:val="20"/>
        </w:rPr>
      </w:pPr>
      <w:r>
        <w:rPr>
          <w:rFonts w:ascii="Arial" w:hAnsi="Arial" w:cs="Arial"/>
          <w:i/>
          <w:sz w:val="20"/>
          <w:szCs w:val="20"/>
        </w:rPr>
        <w:t>Căn cứ Nghị định số 44/2014/NĐ-CP ngày 15 tháng 5 năm 2014 của Chính phủ quy định về giá đất;</w:t>
      </w:r>
    </w:p>
    <w:p>
      <w:pPr>
        <w:spacing w:after="120"/>
        <w:ind w:firstLine="720"/>
        <w:jc w:val="both"/>
        <w:rPr>
          <w:rFonts w:ascii="Arial" w:hAnsi="Arial" w:cs="Arial"/>
          <w:i/>
          <w:sz w:val="20"/>
          <w:szCs w:val="20"/>
        </w:rPr>
      </w:pPr>
      <w:r>
        <w:rPr>
          <w:rFonts w:ascii="Arial" w:hAnsi="Arial" w:cs="Arial"/>
          <w:i/>
          <w:sz w:val="20"/>
          <w:szCs w:val="20"/>
        </w:rPr>
        <w:t>Căn cứ Nghị định số 01/2017/NĐ-CP ngày 06 tháng 01 năm 2017 của Chính phủ sửa đổi, bổ sung một số Nghị định quy định chi tiết thi hành Luật Đất đai;</w:t>
      </w:r>
    </w:p>
    <w:p>
      <w:pPr>
        <w:spacing w:after="120"/>
        <w:ind w:firstLine="720"/>
        <w:jc w:val="both"/>
        <w:rPr>
          <w:rFonts w:ascii="Arial" w:hAnsi="Arial" w:cs="Arial"/>
          <w:i/>
          <w:sz w:val="20"/>
          <w:szCs w:val="20"/>
        </w:rPr>
      </w:pPr>
      <w:r>
        <w:rPr>
          <w:rFonts w:ascii="Arial" w:hAnsi="Arial" w:cs="Arial"/>
          <w:i/>
          <w:sz w:val="20"/>
          <w:szCs w:val="20"/>
        </w:rPr>
        <w:t>Căn cứ Nghị định số 96/2019/NĐ-CP ngày 19 tháng 12 năm 2019 của Chính phủ quy định về khung giá đất;</w:t>
      </w:r>
    </w:p>
    <w:p>
      <w:pPr>
        <w:spacing w:after="120"/>
        <w:ind w:firstLine="720"/>
        <w:jc w:val="both"/>
        <w:rPr>
          <w:rFonts w:ascii="Arial" w:hAnsi="Arial" w:cs="Arial"/>
          <w:i/>
          <w:sz w:val="20"/>
          <w:szCs w:val="20"/>
        </w:rPr>
      </w:pPr>
      <w:r>
        <w:rPr>
          <w:rFonts w:ascii="Arial" w:hAnsi="Arial" w:cs="Arial"/>
          <w:i/>
          <w:sz w:val="20"/>
          <w:szCs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i/>
          <w:sz w:val="20"/>
          <w:szCs w:val="20"/>
        </w:rPr>
      </w:pPr>
      <w:r>
        <w:rPr>
          <w:rFonts w:ascii="Arial" w:hAnsi="Arial" w:cs="Arial"/>
          <w:i/>
          <w:sz w:val="20"/>
          <w:szCs w:val="20"/>
        </w:rPr>
        <w:t>Căn cứ Nghị quyết số 60/2019/NQ-HĐND ngày 12 tháng 12 năm 2019 của Hội đồng nhân dân tỉnh Quảng Bình về thông qua Bảng giá các loại đất trên địa bàn tỉnh Quảng Bình giai đoạn 2020 - 2024;</w:t>
      </w:r>
    </w:p>
    <w:p>
      <w:pPr>
        <w:spacing w:after="120"/>
        <w:ind w:firstLine="720"/>
        <w:jc w:val="both"/>
        <w:rPr>
          <w:rFonts w:ascii="Arial" w:hAnsi="Arial" w:cs="Arial"/>
          <w:i/>
          <w:sz w:val="20"/>
          <w:szCs w:val="20"/>
        </w:rPr>
      </w:pPr>
      <w:r>
        <w:rPr>
          <w:rFonts w:ascii="Arial" w:hAnsi="Arial" w:cs="Arial"/>
          <w:i/>
          <w:sz w:val="20"/>
          <w:szCs w:val="20"/>
        </w:rPr>
        <w:t>Theo đề nghị của Giám đốc Sở Tài nguyên và Môi trường tại Tờ trình số 770/TTr-STNMT ngày 19 tháng 12 năm 2019,</w:t>
      </w:r>
    </w:p>
    <w:p>
      <w:pPr>
        <w:jc w:val="center"/>
        <w:rPr>
          <w:rFonts w:ascii="Arial" w:hAnsi="Arial" w:cs="Arial"/>
          <w:b/>
          <w:sz w:val="20"/>
          <w:szCs w:val="20"/>
        </w:rPr>
      </w:pPr>
      <w:r>
        <w:rPr>
          <w:rFonts w:ascii="Arial" w:hAnsi="Arial" w:cs="Arial"/>
          <w:b/>
          <w:sz w:val="20"/>
          <w:szCs w:val="20"/>
        </w:rPr>
        <w:t>QUYẾT ĐỊNH:</w:t>
      </w:r>
    </w:p>
    <w:p>
      <w:pPr>
        <w:spacing w:after="120"/>
        <w:ind w:firstLine="720"/>
        <w:jc w:val="both"/>
        <w:rPr>
          <w:rFonts w:ascii="Arial" w:hAnsi="Arial" w:cs="Arial"/>
          <w:bCs/>
          <w:color w:val="000000"/>
          <w:sz w:val="20"/>
          <w:szCs w:val="20"/>
        </w:rPr>
      </w:pPr>
      <w:r>
        <w:rPr>
          <w:rFonts w:ascii="Arial" w:hAnsi="Arial" w:cs="Arial"/>
          <w:b/>
          <w:color w:val="000000"/>
          <w:sz w:val="20"/>
          <w:szCs w:val="20"/>
        </w:rPr>
        <w:t>Điều 1.</w:t>
      </w:r>
      <w:r>
        <w:rPr>
          <w:rFonts w:ascii="Arial" w:hAnsi="Arial" w:cs="Arial"/>
          <w:bCs/>
          <w:color w:val="000000"/>
          <w:sz w:val="20"/>
          <w:szCs w:val="20"/>
        </w:rPr>
        <w:t xml:space="preserve"> Quy định Bảng giá các loại đất trên địa bàn tỉnh Quảng Bình giai đoạn 20</w:t>
      </w:r>
      <w:r>
        <w:rPr>
          <w:rFonts w:ascii="Arial" w:hAnsi="Arial" w:cs="Arial"/>
          <w:bCs/>
          <w:color w:val="000000"/>
          <w:sz w:val="20"/>
          <w:szCs w:val="20"/>
          <w:lang w:val="vi-VN"/>
        </w:rPr>
        <w:t>20</w:t>
      </w:r>
      <w:r>
        <w:rPr>
          <w:rFonts w:ascii="Arial" w:hAnsi="Arial" w:cs="Arial"/>
          <w:bCs/>
          <w:color w:val="000000"/>
          <w:sz w:val="20"/>
          <w:szCs w:val="20"/>
        </w:rPr>
        <w:t xml:space="preserve"> - 20</w:t>
      </w:r>
      <w:r>
        <w:rPr>
          <w:rFonts w:ascii="Arial" w:hAnsi="Arial" w:cs="Arial"/>
          <w:bCs/>
          <w:color w:val="000000"/>
          <w:sz w:val="20"/>
          <w:szCs w:val="20"/>
          <w:lang w:val="vi-VN"/>
        </w:rPr>
        <w:t>24</w:t>
      </w:r>
      <w:r>
        <w:rPr>
          <w:rFonts w:ascii="Arial" w:hAnsi="Arial" w:cs="Arial"/>
          <w:bCs/>
          <w:color w:val="000000"/>
          <w:sz w:val="20"/>
          <w:szCs w:val="20"/>
        </w:rPr>
        <w:t>.</w:t>
      </w:r>
    </w:p>
    <w:p>
      <w:pPr>
        <w:spacing w:after="120"/>
        <w:ind w:firstLine="720"/>
        <w:jc w:val="both"/>
        <w:rPr>
          <w:rFonts w:ascii="Arial" w:hAnsi="Arial" w:cs="Arial"/>
          <w:bCs/>
          <w:color w:val="000000"/>
          <w:sz w:val="20"/>
          <w:szCs w:val="20"/>
          <w:lang w:val="pt-BR"/>
        </w:rPr>
      </w:pPr>
      <w:r>
        <w:rPr>
          <w:rFonts w:ascii="Arial" w:hAnsi="Arial" w:cs="Arial"/>
          <w:bCs/>
          <w:color w:val="000000"/>
          <w:sz w:val="20"/>
          <w:szCs w:val="20"/>
          <w:lang w:val="pt-BR"/>
        </w:rPr>
        <w:t>1. Giá đất nông nghiệp là đất trồng cây hàng năm, đất trồng cây lâu năm, đất rừng sản xuất, đất nuôi trồng thủy sản, đất làm muối tại các huyện, thị xã, thành phố.</w:t>
      </w:r>
    </w:p>
    <w:p>
      <w:pPr>
        <w:jc w:val="center"/>
        <w:rPr>
          <w:rFonts w:ascii="Arial" w:hAnsi="Arial" w:cs="Arial"/>
          <w:bCs/>
          <w:i/>
          <w:color w:val="000000"/>
          <w:sz w:val="20"/>
          <w:szCs w:val="20"/>
        </w:rPr>
      </w:pPr>
      <w:r>
        <w:rPr>
          <w:rFonts w:ascii="Arial" w:hAnsi="Arial" w:cs="Arial"/>
          <w:bCs/>
          <w:i/>
          <w:color w:val="000000"/>
          <w:sz w:val="20"/>
          <w:szCs w:val="20"/>
        </w:rPr>
        <w:t>(Chi tiết có Phụ lục I kèm theo)</w:t>
      </w:r>
    </w:p>
    <w:p>
      <w:pPr>
        <w:spacing w:after="120"/>
        <w:ind w:firstLine="720"/>
        <w:jc w:val="both"/>
        <w:rPr>
          <w:rFonts w:ascii="Arial" w:hAnsi="Arial" w:cs="Arial"/>
          <w:bCs/>
          <w:color w:val="000000"/>
          <w:sz w:val="20"/>
          <w:szCs w:val="20"/>
        </w:rPr>
      </w:pPr>
      <w:r>
        <w:rPr>
          <w:rFonts w:ascii="Arial" w:hAnsi="Arial" w:cs="Arial"/>
          <w:bCs/>
          <w:color w:val="000000"/>
          <w:sz w:val="20"/>
          <w:szCs w:val="20"/>
        </w:rPr>
        <w:t>2. Giá các loại đất ở, đất thương mại, dịch vụ, đất sản xuất, kinh doanh phi nông nghiệp không phải là đất thương mại, dịch vụ, đất nông nghiệp khác, đất phi nông nghiệp còn lại, đất chưa xác định mục đích sử dụng</w:t>
      </w:r>
      <w:r>
        <w:rPr>
          <w:rFonts w:ascii="Arial" w:hAnsi="Arial" w:cs="Arial"/>
          <w:bCs/>
          <w:color w:val="000000"/>
          <w:sz w:val="20"/>
          <w:szCs w:val="20"/>
          <w:lang w:val="pt-BR"/>
        </w:rPr>
        <w:t xml:space="preserve"> tại các huyện, thị xã, thành phố</w:t>
      </w:r>
      <w:r>
        <w:rPr>
          <w:rFonts w:ascii="Arial" w:hAnsi="Arial" w:cs="Arial"/>
          <w:bCs/>
          <w:color w:val="000000"/>
          <w:sz w:val="20"/>
          <w:szCs w:val="20"/>
        </w:rPr>
        <w:t>.</w:t>
      </w:r>
    </w:p>
    <w:p>
      <w:pPr>
        <w:jc w:val="center"/>
        <w:rPr>
          <w:rFonts w:ascii="Arial" w:hAnsi="Arial" w:cs="Arial"/>
          <w:bCs/>
          <w:i/>
          <w:color w:val="000000"/>
          <w:sz w:val="20"/>
          <w:szCs w:val="20"/>
        </w:rPr>
      </w:pPr>
      <w:r>
        <w:rPr>
          <w:rFonts w:ascii="Arial" w:hAnsi="Arial" w:cs="Arial"/>
          <w:bCs/>
          <w:i/>
          <w:color w:val="000000"/>
          <w:sz w:val="20"/>
          <w:szCs w:val="20"/>
        </w:rPr>
        <w:t>(Chi tiết có Phụ lục II kèm theo)</w:t>
      </w:r>
    </w:p>
    <w:p>
      <w:pPr>
        <w:spacing w:after="120"/>
        <w:ind w:firstLine="720"/>
        <w:jc w:val="both"/>
        <w:rPr>
          <w:rFonts w:ascii="Arial" w:hAnsi="Arial" w:cs="Arial"/>
          <w:bCs/>
          <w:color w:val="000000"/>
          <w:sz w:val="20"/>
          <w:szCs w:val="20"/>
        </w:rPr>
      </w:pPr>
      <w:r>
        <w:rPr>
          <w:rFonts w:ascii="Arial" w:hAnsi="Arial" w:cs="Arial"/>
          <w:bCs/>
          <w:color w:val="000000"/>
          <w:sz w:val="20"/>
          <w:szCs w:val="20"/>
        </w:rPr>
        <w:t xml:space="preserve">3. Giá đất sản xuất, kinh doanh phi nông nghiệp trong </w:t>
      </w:r>
      <w:r>
        <w:rPr>
          <w:rFonts w:ascii="Arial" w:hAnsi="Arial" w:cs="Arial"/>
          <w:bCs/>
          <w:color w:val="000000"/>
          <w:sz w:val="20"/>
          <w:szCs w:val="20"/>
          <w:lang w:val="vi-VN"/>
        </w:rPr>
        <w:t xml:space="preserve">các </w:t>
      </w:r>
      <w:r>
        <w:rPr>
          <w:rFonts w:ascii="Arial" w:hAnsi="Arial" w:cs="Arial"/>
          <w:bCs/>
          <w:color w:val="000000"/>
          <w:sz w:val="20"/>
          <w:szCs w:val="20"/>
        </w:rPr>
        <w:t xml:space="preserve">Khu Công nghiệp, Khu Kinh tế </w:t>
      </w:r>
      <w:r>
        <w:rPr>
          <w:rFonts w:ascii="Arial" w:hAnsi="Arial" w:cs="Arial"/>
          <w:bCs/>
          <w:color w:val="000000"/>
          <w:sz w:val="20"/>
          <w:szCs w:val="20"/>
          <w:lang w:val="vi-VN"/>
        </w:rPr>
        <w:t xml:space="preserve">Hòn La và Khu kinh tế </w:t>
      </w:r>
      <w:r>
        <w:rPr>
          <w:rFonts w:ascii="Arial" w:hAnsi="Arial" w:cs="Arial"/>
          <w:bCs/>
          <w:color w:val="000000"/>
          <w:sz w:val="20"/>
          <w:szCs w:val="20"/>
        </w:rPr>
        <w:t xml:space="preserve">Cửa khẩu Quốc tế Cha Lo. </w:t>
      </w:r>
    </w:p>
    <w:p>
      <w:pPr>
        <w:jc w:val="center"/>
        <w:rPr>
          <w:rFonts w:ascii="Arial" w:hAnsi="Arial" w:cs="Arial"/>
          <w:bCs/>
          <w:i/>
          <w:color w:val="000000"/>
          <w:sz w:val="20"/>
          <w:szCs w:val="20"/>
        </w:rPr>
      </w:pPr>
      <w:r>
        <w:rPr>
          <w:rFonts w:ascii="Arial" w:hAnsi="Arial" w:cs="Arial"/>
          <w:bCs/>
          <w:i/>
          <w:color w:val="000000"/>
          <w:sz w:val="20"/>
          <w:szCs w:val="20"/>
        </w:rPr>
        <w:t>(Chi tiết có Phụ lục III kèm theo)</w:t>
      </w:r>
    </w:p>
    <w:p>
      <w:pPr>
        <w:spacing w:after="120"/>
        <w:ind w:firstLine="720"/>
        <w:jc w:val="both"/>
        <w:rPr>
          <w:rFonts w:ascii="Arial" w:hAnsi="Arial" w:cs="Arial"/>
          <w:bCs/>
          <w:color w:val="000000"/>
          <w:sz w:val="20"/>
          <w:szCs w:val="20"/>
        </w:rPr>
      </w:pPr>
      <w:r>
        <w:rPr>
          <w:rFonts w:ascii="Arial" w:hAnsi="Arial" w:cs="Arial"/>
          <w:bCs/>
          <w:color w:val="000000"/>
          <w:sz w:val="20"/>
          <w:szCs w:val="20"/>
        </w:rPr>
        <w:t xml:space="preserve">4. </w:t>
      </w:r>
      <w:r>
        <w:rPr>
          <w:rFonts w:ascii="Arial" w:hAnsi="Arial" w:cs="Arial"/>
          <w:bCs/>
          <w:color w:val="000000"/>
          <w:sz w:val="20"/>
          <w:szCs w:val="20"/>
          <w:lang w:val="vi-VN"/>
        </w:rPr>
        <w:t>Xác định</w:t>
      </w:r>
      <w:r>
        <w:rPr>
          <w:rFonts w:ascii="Arial" w:hAnsi="Arial" w:cs="Arial"/>
          <w:bCs/>
          <w:color w:val="000000"/>
          <w:sz w:val="20"/>
          <w:szCs w:val="20"/>
        </w:rPr>
        <w:t xml:space="preserve"> loại đô thị, loại xã, khu vực, vị trí đất </w:t>
      </w:r>
      <w:r>
        <w:rPr>
          <w:rFonts w:ascii="Arial" w:hAnsi="Arial" w:cs="Arial"/>
          <w:bCs/>
          <w:color w:val="000000"/>
          <w:sz w:val="20"/>
          <w:szCs w:val="20"/>
          <w:lang w:val="pt-BR"/>
        </w:rPr>
        <w:t>tại các huyện, thị xã, thành phố</w:t>
      </w:r>
      <w:r>
        <w:rPr>
          <w:rFonts w:ascii="Arial" w:hAnsi="Arial" w:cs="Arial"/>
          <w:bCs/>
          <w:color w:val="000000"/>
          <w:sz w:val="20"/>
          <w:szCs w:val="20"/>
        </w:rPr>
        <w:t>.</w:t>
      </w:r>
    </w:p>
    <w:p>
      <w:pPr>
        <w:jc w:val="center"/>
        <w:rPr>
          <w:rFonts w:ascii="Arial" w:hAnsi="Arial" w:cs="Arial"/>
          <w:bCs/>
          <w:i/>
          <w:color w:val="000000"/>
          <w:sz w:val="20"/>
          <w:szCs w:val="20"/>
        </w:rPr>
      </w:pPr>
      <w:r>
        <w:rPr>
          <w:rFonts w:ascii="Arial" w:hAnsi="Arial" w:cs="Arial"/>
          <w:bCs/>
          <w:i/>
          <w:color w:val="000000"/>
          <w:sz w:val="20"/>
          <w:szCs w:val="20"/>
        </w:rPr>
        <w:t>(Chi tiết có Phụ lục IV kèm theo)</w:t>
      </w:r>
    </w:p>
    <w:p>
      <w:pPr>
        <w:spacing w:after="120"/>
        <w:ind w:firstLine="720"/>
        <w:jc w:val="both"/>
        <w:rPr>
          <w:rFonts w:ascii="Arial" w:hAnsi="Arial" w:cs="Arial"/>
          <w:bCs/>
          <w:color w:val="000000"/>
          <w:sz w:val="20"/>
          <w:szCs w:val="20"/>
        </w:rPr>
      </w:pPr>
      <w:r>
        <w:rPr>
          <w:rFonts w:ascii="Arial" w:hAnsi="Arial" w:cs="Arial"/>
          <w:bCs/>
          <w:color w:val="000000"/>
          <w:sz w:val="20"/>
          <w:szCs w:val="20"/>
        </w:rPr>
        <w:t>5.</w:t>
      </w:r>
      <w:r>
        <w:rPr>
          <w:rFonts w:ascii="Arial" w:hAnsi="Arial" w:cs="Arial"/>
          <w:bCs/>
          <w:i/>
          <w:color w:val="000000"/>
          <w:sz w:val="20"/>
          <w:szCs w:val="20"/>
        </w:rPr>
        <w:t xml:space="preserve"> </w:t>
      </w:r>
      <w:r>
        <w:rPr>
          <w:rFonts w:ascii="Arial" w:hAnsi="Arial" w:cs="Arial"/>
          <w:bCs/>
          <w:color w:val="000000"/>
          <w:sz w:val="20"/>
          <w:szCs w:val="20"/>
        </w:rPr>
        <w:t>Bảng giá đất quy định tại Quyết định này sử dụng để làm căn cứ trong các trường hợp quy định tại Khoản 2 Điều 114 Luật Đất đai năm 2013.</w:t>
      </w:r>
    </w:p>
    <w:p>
      <w:pPr>
        <w:spacing w:after="120"/>
        <w:ind w:firstLine="720"/>
        <w:jc w:val="both"/>
        <w:rPr>
          <w:rFonts w:ascii="Arial" w:hAnsi="Arial" w:cs="Arial"/>
          <w:bCs/>
          <w:color w:val="000000"/>
          <w:sz w:val="20"/>
          <w:szCs w:val="20"/>
        </w:rPr>
      </w:pPr>
      <w:r>
        <w:rPr>
          <w:rFonts w:ascii="Arial" w:hAnsi="Arial" w:cs="Arial"/>
          <w:bCs/>
          <w:color w:val="000000"/>
          <w:sz w:val="20"/>
          <w:szCs w:val="20"/>
        </w:rPr>
        <w:t>Giá đất trong Bảng giá đất đối với đất sử dụng có thời hạn được tính tương ứng với thời hạn sử dụng đất là 70 năm.</w:t>
      </w:r>
    </w:p>
    <w:p>
      <w:pPr>
        <w:spacing w:after="120"/>
        <w:ind w:firstLine="720"/>
        <w:jc w:val="both"/>
        <w:rPr>
          <w:rFonts w:ascii="Arial" w:hAnsi="Arial" w:cs="Arial"/>
          <w:bCs/>
          <w:color w:val="000000"/>
          <w:sz w:val="20"/>
          <w:szCs w:val="20"/>
        </w:rPr>
      </w:pPr>
      <w:r>
        <w:rPr>
          <w:rFonts w:ascii="Arial" w:hAnsi="Arial" w:cs="Arial"/>
          <w:b/>
          <w:bCs/>
          <w:color w:val="000000"/>
          <w:sz w:val="20"/>
          <w:szCs w:val="20"/>
        </w:rPr>
        <w:t>Điều 2.</w:t>
      </w:r>
      <w:r>
        <w:rPr>
          <w:rFonts w:ascii="Arial" w:hAnsi="Arial" w:cs="Arial"/>
          <w:bCs/>
          <w:color w:val="000000"/>
          <w:sz w:val="20"/>
          <w:szCs w:val="20"/>
        </w:rPr>
        <w:t xml:space="preserve"> Quyết định này có hiệu </w:t>
      </w:r>
      <w:bookmarkStart w:id="2" w:name="_GoBack"/>
      <w:bookmarkEnd w:id="2"/>
      <w:r>
        <w:rPr>
          <w:rFonts w:ascii="Arial" w:hAnsi="Arial" w:cs="Arial"/>
          <w:bCs/>
          <w:color w:val="000000"/>
          <w:sz w:val="20"/>
          <w:szCs w:val="20"/>
        </w:rPr>
        <w:t>lực thi hành kể từ ngày 01 tháng 01 năm 2020.</w:t>
      </w:r>
    </w:p>
    <w:p>
      <w:pPr>
        <w:ind w:firstLine="720"/>
        <w:jc w:val="both"/>
        <w:rPr>
          <w:rFonts w:ascii="Arial" w:hAnsi="Arial" w:cs="Arial"/>
          <w:sz w:val="20"/>
          <w:szCs w:val="20"/>
        </w:rPr>
      </w:pPr>
      <w:r>
        <w:rPr>
          <w:rFonts w:ascii="Arial" w:hAnsi="Arial" w:cs="Arial"/>
          <w:b/>
          <w:bCs/>
          <w:color w:val="000000"/>
          <w:sz w:val="20"/>
          <w:szCs w:val="20"/>
        </w:rPr>
        <w:t>Điều 3.</w:t>
      </w:r>
      <w:r>
        <w:rPr>
          <w:rFonts w:ascii="Arial" w:hAnsi="Arial" w:cs="Arial"/>
          <w:bCs/>
          <w:color w:val="000000"/>
          <w:sz w:val="20"/>
          <w:szCs w:val="20"/>
        </w:rPr>
        <w:t xml:space="preserve"> Chánh Văn phòng Ủy ban nhân dân tỉnh, Giám đốc các sở: Tài nguyên và Môi trường, Tài chính, Xây dựng, Kế hoạch và Đầu tư, Công Thương, Tư Pháp; Cục trưởng Cục Thuế; Thủ trưởng các sở, ban, ngành cấp tỉnh; Chủ tịch Ủy ban nhân dân các huyện, thị xã, thành phố và các tổ chức, các nhân có liên quan chịu trách nhiệm thi hành Quyết định này./.</w:t>
      </w:r>
    </w:p>
    <w:p>
      <w:pPr>
        <w:rPr>
          <w:rFonts w:ascii="Arial" w:hAnsi="Arial" w:cs="Arial"/>
          <w:b/>
          <w:bCs/>
          <w:color w:val="000000"/>
          <w:sz w:val="20"/>
          <w:szCs w:val="20"/>
        </w:rPr>
      </w:pPr>
    </w:p>
    <w:tbl>
      <w:tblPr>
        <w:tblStyle w:val="10"/>
        <w:tblW w:w="0" w:type="auto"/>
        <w:tblInd w:w="0" w:type="dxa"/>
        <w:tblLayout w:type="autofit"/>
        <w:tblCellMar>
          <w:top w:w="0" w:type="dxa"/>
          <w:left w:w="108" w:type="dxa"/>
          <w:bottom w:w="0" w:type="dxa"/>
          <w:right w:w="108" w:type="dxa"/>
        </w:tblCellMar>
      </w:tblPr>
      <w:tblGrid>
        <w:gridCol w:w="4068"/>
        <w:gridCol w:w="4788"/>
      </w:tblGrid>
      <w:tr>
        <w:tblPrEx>
          <w:tblCellMar>
            <w:top w:w="0" w:type="dxa"/>
            <w:left w:w="108" w:type="dxa"/>
            <w:bottom w:w="0" w:type="dxa"/>
            <w:right w:w="108" w:type="dxa"/>
          </w:tblCellMar>
        </w:tblPrEx>
        <w:trPr>
          <w:wBefore w:w="0" w:type="dxa"/>
        </w:trPr>
        <w:tc>
          <w:tcPr>
            <w:tcW w:w="4068" w:type="dxa"/>
            <w:shd w:val="clear" w:color="auto" w:fill="auto"/>
            <w:noWrap w:val="0"/>
            <w:vAlign w:val="top"/>
          </w:tcPr>
          <w:p>
            <w:pPr>
              <w:jc w:val="both"/>
              <w:rPr>
                <w:rFonts w:ascii="Arial" w:hAnsi="Arial" w:cs="Arial"/>
                <w:b/>
                <w:sz w:val="20"/>
                <w:szCs w:val="20"/>
              </w:rPr>
            </w:pPr>
          </w:p>
        </w:tc>
        <w:tc>
          <w:tcPr>
            <w:tcW w:w="4788" w:type="dxa"/>
            <w:shd w:val="clear" w:color="auto" w:fill="auto"/>
            <w:noWrap w:val="0"/>
            <w:vAlign w:val="top"/>
          </w:tcPr>
          <w:p>
            <w:pPr>
              <w:jc w:val="center"/>
              <w:rPr>
                <w:rFonts w:ascii="Arial" w:hAnsi="Arial" w:cs="Arial"/>
                <w:sz w:val="20"/>
                <w:szCs w:val="20"/>
              </w:rPr>
            </w:pPr>
            <w:r>
              <w:rPr>
                <w:rFonts w:ascii="Arial" w:hAnsi="Arial" w:cs="Arial"/>
                <w:b/>
                <w:sz w:val="20"/>
                <w:szCs w:val="20"/>
              </w:rPr>
              <w:t xml:space="preserve">TM. ỦY BAN NHÂN DÂN </w:t>
            </w:r>
            <w:r>
              <w:rPr>
                <w:rFonts w:ascii="Arial" w:hAnsi="Arial" w:cs="Arial"/>
                <w:b/>
                <w:sz w:val="20"/>
                <w:szCs w:val="20"/>
              </w:rPr>
              <w:br w:type="textWrapping"/>
            </w:r>
            <w:r>
              <w:rPr>
                <w:rFonts w:ascii="Arial" w:hAnsi="Arial" w:cs="Arial"/>
                <w:b/>
                <w:sz w:val="20"/>
                <w:szCs w:val="20"/>
              </w:rPr>
              <w:t xml:space="preserve">KT. CHỦ TỊCH </w:t>
            </w:r>
            <w:r>
              <w:rPr>
                <w:rFonts w:ascii="Arial" w:hAnsi="Arial" w:cs="Arial"/>
                <w:b/>
                <w:sz w:val="20"/>
                <w:szCs w:val="20"/>
              </w:rPr>
              <w:br w:type="textWrapping"/>
            </w:r>
            <w:r>
              <w:rPr>
                <w:rFonts w:ascii="Arial" w:hAnsi="Arial" w:cs="Arial"/>
                <w:b/>
                <w:sz w:val="20"/>
                <w:szCs w:val="20"/>
              </w:rPr>
              <w:t>PHÓ CHỦ TỊCH</w:t>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rPr>
              <w:br w:type="textWrapping"/>
            </w:r>
            <w:r>
              <w:rPr>
                <w:rFonts w:ascii="Arial" w:hAnsi="Arial" w:cs="Arial"/>
                <w:b/>
                <w:sz w:val="20"/>
                <w:szCs w:val="20"/>
                <w:lang w:val="pt-BR"/>
              </w:rPr>
              <w:t>Lê Minh Ngân</w:t>
            </w:r>
          </w:p>
        </w:tc>
      </w:tr>
    </w:tbl>
    <w:p>
      <w:pPr>
        <w:rPr>
          <w:rFonts w:ascii="Arial" w:hAnsi="Arial" w:cs="Arial"/>
          <w:b/>
          <w:bCs/>
          <w:color w:val="000000"/>
          <w:sz w:val="20"/>
          <w:szCs w:val="2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68" w:type="dxa"/>
            <w:shd w:val="clear" w:color="auto" w:fill="auto"/>
            <w:noWrap w:val="0"/>
            <w:vAlign w:val="top"/>
          </w:tcPr>
          <w:p>
            <w:pPr>
              <w:jc w:val="center"/>
              <w:rPr>
                <w:rFonts w:ascii="Arial" w:hAnsi="Arial" w:cs="Arial"/>
                <w:b/>
                <w:color w:val="FF0000"/>
                <w:sz w:val="20"/>
                <w:szCs w:val="20"/>
                <w:lang w:val="nb-NO"/>
              </w:rPr>
            </w:pPr>
          </w:p>
          <w:p>
            <w:pPr>
              <w:jc w:val="center"/>
              <w:rPr>
                <w:rFonts w:ascii="Arial" w:hAnsi="Arial" w:cs="Arial"/>
                <w:b/>
                <w:color w:val="FF0000"/>
                <w:sz w:val="20"/>
                <w:szCs w:val="20"/>
                <w:lang w:val="nb-NO"/>
              </w:rPr>
            </w:pPr>
            <w:r>
              <w:rPr>
                <w:rFonts w:ascii="Arial" w:hAnsi="Arial" w:cs="Arial"/>
                <w:b/>
                <w:color w:val="FF0000"/>
                <w:sz w:val="20"/>
                <w:szCs w:val="20"/>
                <w:lang w:val="nb-NO"/>
              </w:rPr>
              <w:t>FILE ĐƯỢC ĐÍNH KÈM THEO VĂN BẢN</w:t>
            </w:r>
          </w:p>
          <w:p>
            <w:pPr>
              <w:jc w:val="center"/>
              <w:rPr>
                <w:rFonts w:ascii="Arial" w:hAnsi="Arial" w:cs="Arial"/>
                <w:b/>
                <w:color w:val="FF0000"/>
                <w:sz w:val="20"/>
                <w:szCs w:val="20"/>
                <w:lang w:val="nb-NO"/>
              </w:rPr>
            </w:pPr>
            <w:bookmarkStart w:id="0" w:name="_1643192566"/>
            <w:bookmarkEnd w:id="0"/>
            <w:bookmarkStart w:id="1" w:name="_1643192570"/>
            <w:bookmarkEnd w:id="1"/>
            <w:r>
              <w:rPr>
                <w:rFonts w:ascii="Arial" w:hAnsi="Arial" w:cs="Arial"/>
                <w:b/>
                <w:color w:val="FF0000"/>
                <w:sz w:val="20"/>
                <w:szCs w:val="20"/>
                <w:lang w:val="nb-NO"/>
              </w:rPr>
              <w:object>
                <v:shape id="_x0000_i1026" o:spt="75" type="#_x0000_t75" style="height:50pt;width:77.2pt;" o:ole="t" filled="f" stroked="f" coordsize="21600,21600">
                  <v:path/>
                  <v:fill on="f" focussize="0,0"/>
                  <v:stroke on="f"/>
                  <v:imagedata r:id="rId5" o:title=""/>
                  <o:lock v:ext="edit" aspectratio="t"/>
                  <w10:wrap type="none"/>
                  <w10:anchorlock/>
                </v:shape>
                <o:OLEObject Type="Embed" ProgID="Word.Document.8" ShapeID="_x0000_i1026" DrawAspect="Icon" ObjectID="_1468075725" r:id="rId4">
                  <o:LockedField>false</o:LockedField>
                </o:OLEObject>
              </w:object>
            </w:r>
          </w:p>
        </w:tc>
      </w:tr>
    </w:tbl>
    <w:p>
      <w:pPr>
        <w:tabs>
          <w:tab w:val="left" w:pos="2020"/>
        </w:tabs>
        <w:jc w:val="center"/>
        <w:rPr>
          <w:rFonts w:ascii="Arial" w:hAnsi="Arial" w:cs="Arial"/>
          <w:sz w:val="20"/>
          <w:szCs w:val="20"/>
        </w:rPr>
      </w:pPr>
    </w:p>
    <w:p>
      <w:pPr>
        <w:rPr>
          <w:rFonts w:ascii="Arial" w:hAnsi="Arial" w:cs="Arial"/>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170C6"/>
    <w:rsid w:val="00036279"/>
    <w:rsid w:val="000562CF"/>
    <w:rsid w:val="000576DA"/>
    <w:rsid w:val="00061A0A"/>
    <w:rsid w:val="00087433"/>
    <w:rsid w:val="0009245D"/>
    <w:rsid w:val="000D2E8A"/>
    <w:rsid w:val="000D2FE9"/>
    <w:rsid w:val="00106246"/>
    <w:rsid w:val="00116018"/>
    <w:rsid w:val="00134E9C"/>
    <w:rsid w:val="001625E7"/>
    <w:rsid w:val="00163CFD"/>
    <w:rsid w:val="001C5873"/>
    <w:rsid w:val="001F3251"/>
    <w:rsid w:val="002309D2"/>
    <w:rsid w:val="00232C82"/>
    <w:rsid w:val="00245354"/>
    <w:rsid w:val="00255FD2"/>
    <w:rsid w:val="00285BBB"/>
    <w:rsid w:val="0031309C"/>
    <w:rsid w:val="003253E8"/>
    <w:rsid w:val="0035207A"/>
    <w:rsid w:val="00391330"/>
    <w:rsid w:val="0039176C"/>
    <w:rsid w:val="003A6991"/>
    <w:rsid w:val="003B145F"/>
    <w:rsid w:val="003D1BA0"/>
    <w:rsid w:val="003E1FF7"/>
    <w:rsid w:val="003F0558"/>
    <w:rsid w:val="00435C20"/>
    <w:rsid w:val="0044551E"/>
    <w:rsid w:val="00454FDF"/>
    <w:rsid w:val="0046083C"/>
    <w:rsid w:val="00462F71"/>
    <w:rsid w:val="00472398"/>
    <w:rsid w:val="004A2454"/>
    <w:rsid w:val="004B15F3"/>
    <w:rsid w:val="004B787E"/>
    <w:rsid w:val="004B7B5F"/>
    <w:rsid w:val="004F1DFF"/>
    <w:rsid w:val="004F49DA"/>
    <w:rsid w:val="00512482"/>
    <w:rsid w:val="00537409"/>
    <w:rsid w:val="00571491"/>
    <w:rsid w:val="00580F1C"/>
    <w:rsid w:val="005A05F8"/>
    <w:rsid w:val="005C23A9"/>
    <w:rsid w:val="005C46DD"/>
    <w:rsid w:val="005E1CF2"/>
    <w:rsid w:val="005E3E48"/>
    <w:rsid w:val="005E4C23"/>
    <w:rsid w:val="005E5EA0"/>
    <w:rsid w:val="005E75AF"/>
    <w:rsid w:val="005F09D2"/>
    <w:rsid w:val="00631356"/>
    <w:rsid w:val="00691A0E"/>
    <w:rsid w:val="00694870"/>
    <w:rsid w:val="00697D32"/>
    <w:rsid w:val="006B5B47"/>
    <w:rsid w:val="006D629F"/>
    <w:rsid w:val="006E3701"/>
    <w:rsid w:val="006F22DA"/>
    <w:rsid w:val="00701746"/>
    <w:rsid w:val="00711789"/>
    <w:rsid w:val="00727E20"/>
    <w:rsid w:val="0073167C"/>
    <w:rsid w:val="007316E5"/>
    <w:rsid w:val="00736929"/>
    <w:rsid w:val="00754BEF"/>
    <w:rsid w:val="00757048"/>
    <w:rsid w:val="00764FBE"/>
    <w:rsid w:val="00767331"/>
    <w:rsid w:val="00795EDD"/>
    <w:rsid w:val="007C57CB"/>
    <w:rsid w:val="00800CD8"/>
    <w:rsid w:val="008255D0"/>
    <w:rsid w:val="008649C9"/>
    <w:rsid w:val="008878FD"/>
    <w:rsid w:val="00890F08"/>
    <w:rsid w:val="008B34E1"/>
    <w:rsid w:val="008B351F"/>
    <w:rsid w:val="008C34C9"/>
    <w:rsid w:val="008C4AE2"/>
    <w:rsid w:val="008D0F45"/>
    <w:rsid w:val="008F452C"/>
    <w:rsid w:val="0091028B"/>
    <w:rsid w:val="009304DB"/>
    <w:rsid w:val="00930ABD"/>
    <w:rsid w:val="009474B2"/>
    <w:rsid w:val="0096767E"/>
    <w:rsid w:val="0099236F"/>
    <w:rsid w:val="0099426C"/>
    <w:rsid w:val="009A0F85"/>
    <w:rsid w:val="009B638E"/>
    <w:rsid w:val="009E186B"/>
    <w:rsid w:val="009E27E4"/>
    <w:rsid w:val="00A10E23"/>
    <w:rsid w:val="00A24CE7"/>
    <w:rsid w:val="00A501D9"/>
    <w:rsid w:val="00A67DD4"/>
    <w:rsid w:val="00A70F8A"/>
    <w:rsid w:val="00A87BFF"/>
    <w:rsid w:val="00A95431"/>
    <w:rsid w:val="00AA58F3"/>
    <w:rsid w:val="00AC5E84"/>
    <w:rsid w:val="00AD366F"/>
    <w:rsid w:val="00AE3844"/>
    <w:rsid w:val="00AE5897"/>
    <w:rsid w:val="00AE753A"/>
    <w:rsid w:val="00AE7BB1"/>
    <w:rsid w:val="00B22ADD"/>
    <w:rsid w:val="00B3003F"/>
    <w:rsid w:val="00B336AF"/>
    <w:rsid w:val="00BA3E4F"/>
    <w:rsid w:val="00BE4492"/>
    <w:rsid w:val="00BF7A1B"/>
    <w:rsid w:val="00C43615"/>
    <w:rsid w:val="00C61CC1"/>
    <w:rsid w:val="00C74E0E"/>
    <w:rsid w:val="00C91815"/>
    <w:rsid w:val="00CA5C3A"/>
    <w:rsid w:val="00CB1084"/>
    <w:rsid w:val="00CB2D39"/>
    <w:rsid w:val="00CB33E5"/>
    <w:rsid w:val="00CB70B0"/>
    <w:rsid w:val="00CC510D"/>
    <w:rsid w:val="00D469F9"/>
    <w:rsid w:val="00D51D41"/>
    <w:rsid w:val="00DA040C"/>
    <w:rsid w:val="00DC26F8"/>
    <w:rsid w:val="00DE4615"/>
    <w:rsid w:val="00E15357"/>
    <w:rsid w:val="00E15D5C"/>
    <w:rsid w:val="00E3591F"/>
    <w:rsid w:val="00E410C4"/>
    <w:rsid w:val="00E50553"/>
    <w:rsid w:val="00E96D4B"/>
    <w:rsid w:val="00EA0280"/>
    <w:rsid w:val="00EB3332"/>
    <w:rsid w:val="00EB783F"/>
    <w:rsid w:val="00ED4686"/>
    <w:rsid w:val="00EE46E5"/>
    <w:rsid w:val="00EF490C"/>
    <w:rsid w:val="00F23123"/>
    <w:rsid w:val="00F303CD"/>
    <w:rsid w:val="00F31855"/>
    <w:rsid w:val="00F43977"/>
    <w:rsid w:val="00F746C8"/>
    <w:rsid w:val="00F86CFF"/>
    <w:rsid w:val="00FA60DB"/>
    <w:rsid w:val="00FF66EE"/>
    <w:rsid w:val="29C41A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19"/>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2"/>
    <w:basedOn w:val="1"/>
    <w:next w:val="1"/>
    <w:link w:val="18"/>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0"/>
    <w:semiHidden/>
    <w:unhideWhenUsed/>
    <w:qFormat/>
    <w:uiPriority w:val="0"/>
    <w:pPr>
      <w:keepNext/>
      <w:spacing w:before="240" w:after="60"/>
      <w:outlineLvl w:val="2"/>
    </w:pPr>
    <w:rPr>
      <w:rFonts w:ascii="Calibri Light" w:hAnsi="Calibri Light" w:eastAsia="Times New Roman" w:cs="Times New Roman"/>
      <w:b/>
      <w:bCs/>
      <w:sz w:val="26"/>
      <w:szCs w:val="26"/>
    </w:rPr>
  </w:style>
  <w:style w:type="character" w:default="1" w:styleId="9">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5">
    <w:name w:val="Body Text"/>
    <w:basedOn w:val="1"/>
    <w:uiPriority w:val="0"/>
    <w:pPr>
      <w:autoSpaceDE w:val="0"/>
      <w:autoSpaceDN w:val="0"/>
      <w:jc w:val="both"/>
    </w:pPr>
    <w:rPr>
      <w:rFonts w:ascii=".VnTime" w:hAnsi=".VnTime" w:cs=".VnTime"/>
      <w:sz w:val="28"/>
      <w:szCs w:val="28"/>
      <w:lang w:val="en-GB"/>
    </w:rPr>
  </w:style>
  <w:style w:type="paragraph" w:styleId="6">
    <w:name w:val="footer"/>
    <w:basedOn w:val="1"/>
    <w:uiPriority w:val="0"/>
    <w:pPr>
      <w:tabs>
        <w:tab w:val="center" w:pos="4320"/>
        <w:tab w:val="right" w:pos="8640"/>
      </w:tabs>
    </w:pPr>
  </w:style>
  <w:style w:type="paragraph" w:styleId="7">
    <w:name w:val="header"/>
    <w:basedOn w:val="1"/>
    <w:uiPriority w:val="0"/>
    <w:pPr>
      <w:tabs>
        <w:tab w:val="center" w:pos="4320"/>
        <w:tab w:val="right" w:pos="8640"/>
      </w:tabs>
    </w:pPr>
  </w:style>
  <w:style w:type="paragraph" w:styleId="8">
    <w:name w:val="Normal (Web)"/>
    <w:basedOn w:val="1"/>
    <w:unhideWhenUsed/>
    <w:uiPriority w:val="99"/>
    <w:pPr>
      <w:spacing w:before="100" w:beforeAutospacing="1" w:after="100" w:afterAutospacing="1"/>
    </w:pPr>
    <w:rPr>
      <w:rFonts w:eastAsia="Times New Roman"/>
    </w:rPr>
  </w:style>
  <w:style w:type="paragraph" w:customStyle="1" w:styleId="11">
    <w:name w:val="Body text"/>
    <w:basedOn w:val="1"/>
    <w:link w:val="15"/>
    <w:qFormat/>
    <w:uiPriority w:val="0"/>
    <w:pPr>
      <w:widowControl w:val="0"/>
      <w:shd w:val="clear" w:color="auto" w:fill="FFFFFF"/>
      <w:spacing w:after="100" w:line="288" w:lineRule="auto"/>
      <w:ind w:firstLine="400"/>
      <w:jc w:val="both"/>
    </w:pPr>
    <w:rPr>
      <w:sz w:val="28"/>
      <w:szCs w:val="28"/>
    </w:rPr>
  </w:style>
  <w:style w:type="paragraph" w:customStyle="1" w:styleId="12">
    <w:name w:val="Heading #1"/>
    <w:basedOn w:val="1"/>
    <w:link w:val="16"/>
    <w:uiPriority w:val="0"/>
    <w:pPr>
      <w:widowControl w:val="0"/>
      <w:shd w:val="clear" w:color="auto" w:fill="FFFFFF"/>
      <w:spacing w:after="120"/>
      <w:ind w:firstLine="740"/>
      <w:jc w:val="both"/>
      <w:outlineLvl w:val="0"/>
    </w:pPr>
    <w:rPr>
      <w:b/>
      <w:bCs/>
      <w:sz w:val="28"/>
      <w:szCs w:val="28"/>
    </w:rPr>
  </w:style>
  <w:style w:type="paragraph" w:customStyle="1" w:styleId="13">
    <w:name w:val="Body text (2)"/>
    <w:basedOn w:val="1"/>
    <w:link w:val="17"/>
    <w:uiPriority w:val="0"/>
    <w:pPr>
      <w:widowControl w:val="0"/>
      <w:shd w:val="clear" w:color="auto" w:fill="FFFFFF"/>
      <w:spacing w:line="271" w:lineRule="auto"/>
      <w:ind w:left="180" w:hanging="180"/>
    </w:pPr>
    <w:rPr>
      <w:sz w:val="20"/>
      <w:szCs w:val="20"/>
    </w:rPr>
  </w:style>
  <w:style w:type="paragraph" w:customStyle="1" w:styleId="14">
    <w:name w:val="MB"/>
    <w:basedOn w:val="1"/>
    <w:next w:val="1"/>
    <w:qFormat/>
    <w:uiPriority w:val="0"/>
    <w:pPr>
      <w:jc w:val="center"/>
      <w:outlineLvl w:val="0"/>
    </w:pPr>
    <w:rPr>
      <w:rFonts w:eastAsia="Calibri"/>
      <w:b/>
      <w:sz w:val="28"/>
      <w:szCs w:val="22"/>
    </w:rPr>
  </w:style>
  <w:style w:type="character" w:customStyle="1" w:styleId="15">
    <w:name w:val="Body text_"/>
    <w:link w:val="11"/>
    <w:uiPriority w:val="0"/>
    <w:rPr>
      <w:sz w:val="28"/>
      <w:szCs w:val="28"/>
      <w:shd w:val="clear" w:color="auto" w:fill="FFFFFF"/>
    </w:rPr>
  </w:style>
  <w:style w:type="character" w:customStyle="1" w:styleId="16">
    <w:name w:val="Heading #1_"/>
    <w:link w:val="12"/>
    <w:uiPriority w:val="0"/>
    <w:rPr>
      <w:b/>
      <w:bCs/>
      <w:sz w:val="28"/>
      <w:szCs w:val="28"/>
      <w:shd w:val="clear" w:color="auto" w:fill="FFFFFF"/>
    </w:rPr>
  </w:style>
  <w:style w:type="character" w:customStyle="1" w:styleId="17">
    <w:name w:val="Body text (2)_"/>
    <w:link w:val="13"/>
    <w:uiPriority w:val="0"/>
    <w:rPr>
      <w:shd w:val="clear" w:color="auto" w:fill="FFFFFF"/>
    </w:rPr>
  </w:style>
  <w:style w:type="character" w:customStyle="1" w:styleId="18">
    <w:name w:val="Heading 2 Char"/>
    <w:link w:val="3"/>
    <w:uiPriority w:val="0"/>
    <w:rPr>
      <w:rFonts w:ascii="Arial" w:hAnsi="Arial" w:cs="Arial"/>
      <w:b/>
      <w:bCs/>
      <w:i/>
      <w:iCs/>
      <w:sz w:val="28"/>
      <w:szCs w:val="28"/>
    </w:rPr>
  </w:style>
  <w:style w:type="character" w:customStyle="1" w:styleId="19">
    <w:name w:val="Heading 1 Char"/>
    <w:link w:val="2"/>
    <w:uiPriority w:val="0"/>
    <w:rPr>
      <w:rFonts w:ascii="Calibri Light" w:hAnsi="Calibri Light" w:eastAsia="Times New Roman" w:cs="Times New Roman"/>
      <w:b/>
      <w:bCs/>
      <w:kern w:val="32"/>
      <w:sz w:val="32"/>
      <w:szCs w:val="32"/>
    </w:rPr>
  </w:style>
  <w:style w:type="character" w:customStyle="1" w:styleId="20">
    <w:name w:val="Heading 3 Char"/>
    <w:link w:val="4"/>
    <w:semiHidden/>
    <w:uiPriority w:val="0"/>
    <w:rPr>
      <w:rFonts w:ascii="Calibri Light" w:hAnsi="Calibri Light" w:eastAsia="Times New Roman" w:cs="Times New Roman"/>
      <w:b/>
      <w:bCs/>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2</Pages>
  <Words>457</Words>
  <Characters>2610</Characters>
  <Lines>21</Lines>
  <Paragraphs>6</Paragraphs>
  <TotalTime>0</TotalTime>
  <ScaleCrop>false</ScaleCrop>
  <LinksUpToDate>false</LinksUpToDate>
  <CharactersWithSpaces>3061</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2020-03-02T07:08:00Z</dcterms:created>
  <dc:creator>dqhoa</dc:creator>
  <cp:lastModifiedBy>idollawkun</cp:lastModifiedBy>
  <dcterms:modified xsi:type="dcterms:W3CDTF">2020-10-26T08:43:03Z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