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W w:w="0" w:type="auto"/>
        <w:jc w:val="center"/>
        <w:tblCellSpacing w:w="0" w:type="dxa"/>
        <w:shd w:val="clear" w:color="auto" w:fill="FFFFFF"/>
        <w:tblLayout w:type="autofit"/>
        <w:tblCellMar>
          <w:top w:w="0" w:type="dxa"/>
          <w:left w:w="0" w:type="dxa"/>
          <w:bottom w:w="0" w:type="dxa"/>
          <w:right w:w="0" w:type="dxa"/>
        </w:tblCellMar>
      </w:tblPr>
      <w:tblGrid>
        <w:gridCol w:w="3348"/>
        <w:gridCol w:w="6030"/>
      </w:tblGrid>
      <w:tr>
        <w:tblPrEx>
          <w:shd w:val="clear" w:color="auto" w:fill="FFFFFF"/>
          <w:tblCellMar>
            <w:top w:w="0" w:type="dxa"/>
            <w:left w:w="0" w:type="dxa"/>
            <w:bottom w:w="0" w:type="dxa"/>
            <w:right w:w="0" w:type="dxa"/>
          </w:tblCellMar>
        </w:tblPrEx>
        <w:trPr>
          <w:wBefore w:w="0" w:type="dxa"/>
          <w:wAfter w:w="0" w:type="dxa"/>
          <w:trHeight w:val="828" w:hRule="atLeast"/>
          <w:tblCellSpacing w:w="0" w:type="dxa"/>
          <w:jc w:val="center"/>
        </w:trPr>
        <w:tc>
          <w:tcPr>
            <w:tcW w:w="3348" w:type="dxa"/>
            <w:tcBorders>
              <w:bottom w:val="nil"/>
            </w:tcBorders>
            <w:shd w:val="clear" w:color="auto" w:fill="FFFFFF"/>
            <w:noWrap w:val="0"/>
            <w:tcMar>
              <w:top w:w="0" w:type="dxa"/>
              <w:left w:w="108" w:type="dxa"/>
              <w:bottom w:w="0" w:type="dxa"/>
              <w:right w:w="108" w:type="dxa"/>
            </w:tcMar>
            <w:vAlign w:val="top"/>
          </w:tcPr>
          <w:p>
            <w:pPr>
              <w:spacing w:after="0" w:line="240" w:lineRule="auto"/>
              <w:jc w:val="center"/>
              <w:rPr>
                <w:rFonts w:ascii="Arial" w:hAnsi="Arial" w:eastAsia="Times New Roman" w:cs="Arial"/>
                <w:b/>
                <w:bCs/>
                <w:sz w:val="20"/>
                <w:szCs w:val="20"/>
              </w:rPr>
            </w:pPr>
            <w:r>
              <w:rPr>
                <w:rFonts w:ascii="Arial" w:hAnsi="Arial" w:eastAsia="Times New Roman" w:cs="Arial"/>
                <w:b/>
                <w:bCs/>
                <w:sz w:val="20"/>
                <w:szCs w:val="20"/>
              </w:rPr>
              <w:t>ỦY BAN NHÂN DÂN</w:t>
            </w:r>
            <w:r>
              <w:rPr>
                <w:rFonts w:ascii="Arial" w:hAnsi="Arial" w:eastAsia="Times New Roman" w:cs="Arial"/>
                <w:b/>
                <w:bCs/>
                <w:sz w:val="20"/>
                <w:szCs w:val="20"/>
              </w:rPr>
              <w:br w:type="textWrapping"/>
            </w:r>
            <w:r>
              <w:rPr>
                <w:rFonts w:ascii="Arial" w:hAnsi="Arial" w:eastAsia="Times New Roman" w:cs="Arial"/>
                <w:b/>
                <w:bCs/>
                <w:sz w:val="20"/>
                <w:szCs w:val="20"/>
              </w:rPr>
              <w:t>TỈNH HẢI DƯƠNG</w:t>
            </w:r>
            <w:r>
              <w:rPr>
                <w:rFonts w:ascii="Arial" w:hAnsi="Arial" w:eastAsia="Times New Roman" w:cs="Arial"/>
                <w:b/>
                <w:bCs/>
                <w:sz w:val="20"/>
                <w:szCs w:val="20"/>
                <w:lang w:val="vi-VN"/>
              </w:rPr>
              <w:br w:type="textWrapping"/>
            </w:r>
            <w:r>
              <w:rPr>
                <w:rFonts w:ascii="Arial" w:hAnsi="Arial" w:eastAsia="Times New Roman" w:cs="Arial"/>
                <w:bCs/>
                <w:sz w:val="20"/>
                <w:szCs w:val="20"/>
                <w:lang w:val="vi-VN"/>
              </w:rPr>
              <w:t>-------</w:t>
            </w:r>
          </w:p>
          <w:p>
            <w:pPr>
              <w:spacing w:after="0" w:line="240" w:lineRule="auto"/>
              <w:jc w:val="center"/>
              <w:rPr>
                <w:rFonts w:ascii="Arial" w:hAnsi="Arial" w:eastAsia="Times New Roman" w:cs="Arial"/>
                <w:sz w:val="20"/>
                <w:szCs w:val="20"/>
              </w:rPr>
            </w:pPr>
            <w:r>
              <w:rPr>
                <w:rFonts w:ascii="Arial" w:hAnsi="Arial" w:eastAsia="Times New Roman" w:cs="Arial"/>
                <w:sz w:val="20"/>
                <w:szCs w:val="20"/>
                <w:lang w:val="vi-VN"/>
              </w:rPr>
              <w:t>Số: </w:t>
            </w:r>
            <w:r>
              <w:rPr>
                <w:rFonts w:ascii="Arial" w:hAnsi="Arial" w:eastAsia="Times New Roman" w:cs="Arial"/>
                <w:sz w:val="20"/>
                <w:szCs w:val="20"/>
              </w:rPr>
              <w:t>55/2019/QĐ-UBND</w:t>
            </w:r>
          </w:p>
        </w:tc>
        <w:tc>
          <w:tcPr>
            <w:tcW w:w="6030" w:type="dxa"/>
            <w:tcBorders>
              <w:bottom w:val="nil"/>
            </w:tcBorders>
            <w:shd w:val="clear" w:color="auto" w:fill="FFFFFF"/>
            <w:noWrap w:val="0"/>
            <w:tcMar>
              <w:top w:w="0" w:type="dxa"/>
              <w:left w:w="108" w:type="dxa"/>
              <w:bottom w:w="0" w:type="dxa"/>
              <w:right w:w="108" w:type="dxa"/>
            </w:tcMar>
            <w:vAlign w:val="top"/>
          </w:tcPr>
          <w:p>
            <w:pPr>
              <w:spacing w:after="0" w:line="240" w:lineRule="auto"/>
              <w:jc w:val="center"/>
              <w:rPr>
                <w:rFonts w:ascii="Arial" w:hAnsi="Arial" w:eastAsia="Times New Roman" w:cs="Arial"/>
                <w:b/>
                <w:bCs/>
                <w:sz w:val="20"/>
                <w:szCs w:val="20"/>
                <w:lang w:val="vi-VN"/>
              </w:rPr>
            </w:pPr>
            <w:r>
              <w:rPr>
                <w:rFonts w:ascii="Arial" w:hAnsi="Arial" w:eastAsia="Times New Roman" w:cs="Arial"/>
                <w:b/>
                <w:bCs/>
                <w:sz w:val="20"/>
                <w:szCs w:val="20"/>
                <w:lang w:val="vi-VN"/>
              </w:rPr>
              <w:t>CỘNG HÒA XÃ HỘI CHỦ NGHĨA VIỆT NAM</w:t>
            </w:r>
            <w:r>
              <w:rPr>
                <w:rFonts w:ascii="Arial" w:hAnsi="Arial" w:eastAsia="Times New Roman" w:cs="Arial"/>
                <w:b/>
                <w:bCs/>
                <w:sz w:val="20"/>
                <w:szCs w:val="20"/>
                <w:lang w:val="vi-VN"/>
              </w:rPr>
              <w:br w:type="textWrapping"/>
            </w:r>
            <w:r>
              <w:rPr>
                <w:rFonts w:ascii="Arial" w:hAnsi="Arial" w:eastAsia="Times New Roman" w:cs="Arial"/>
                <w:b/>
                <w:bCs/>
                <w:sz w:val="20"/>
                <w:szCs w:val="20"/>
                <w:lang w:val="vi-VN"/>
              </w:rPr>
              <w:t>Độc lập - Tự do - Hạnh phúc</w:t>
            </w:r>
            <w:r>
              <w:rPr>
                <w:rFonts w:ascii="Arial" w:hAnsi="Arial" w:eastAsia="Times New Roman" w:cs="Arial"/>
                <w:b/>
                <w:bCs/>
                <w:sz w:val="20"/>
                <w:szCs w:val="20"/>
                <w:lang w:val="vi-VN"/>
              </w:rPr>
              <w:br w:type="textWrapping"/>
            </w:r>
            <w:r>
              <w:rPr>
                <w:rFonts w:ascii="Arial" w:hAnsi="Arial" w:eastAsia="Times New Roman" w:cs="Arial"/>
                <w:bCs/>
                <w:sz w:val="20"/>
                <w:szCs w:val="20"/>
                <w:lang w:val="vi-VN"/>
              </w:rPr>
              <w:t>---------------</w:t>
            </w:r>
          </w:p>
          <w:p>
            <w:pPr>
              <w:spacing w:after="0" w:line="240" w:lineRule="auto"/>
              <w:jc w:val="right"/>
              <w:rPr>
                <w:rFonts w:ascii="Arial" w:hAnsi="Arial" w:eastAsia="Times New Roman" w:cs="Arial"/>
                <w:sz w:val="20"/>
                <w:szCs w:val="20"/>
                <w:lang w:val="vi-VN"/>
              </w:rPr>
            </w:pPr>
            <w:r>
              <w:rPr>
                <w:rFonts w:ascii="Arial" w:hAnsi="Arial" w:eastAsia="Times New Roman" w:cs="Arial"/>
                <w:i/>
                <w:iCs/>
                <w:sz w:val="20"/>
                <w:szCs w:val="20"/>
                <w:lang w:val="vi-VN"/>
              </w:rPr>
              <w:t>Hải Dương, ngày 20 tháng 12 năm 2019</w:t>
            </w:r>
          </w:p>
        </w:tc>
      </w:tr>
    </w:tbl>
    <w:p>
      <w:pPr>
        <w:shd w:val="clear" w:color="auto" w:fill="FFFFFF"/>
        <w:spacing w:after="0" w:line="240" w:lineRule="auto"/>
        <w:rPr>
          <w:rFonts w:ascii="Arial" w:hAnsi="Arial" w:eastAsia="Times New Roman" w:cs="Arial"/>
          <w:sz w:val="20"/>
          <w:szCs w:val="20"/>
          <w:lang w:val="vi-VN"/>
        </w:rPr>
      </w:pPr>
      <w:r>
        <w:rPr>
          <w:rFonts w:ascii="Arial" w:hAnsi="Arial" w:eastAsia="Times New Roman" w:cs="Arial"/>
          <w:sz w:val="20"/>
          <w:szCs w:val="20"/>
          <w:lang w:val="vi-VN"/>
        </w:rPr>
        <w:t> </w:t>
      </w:r>
    </w:p>
    <w:p>
      <w:pPr>
        <w:shd w:val="clear" w:color="auto" w:fill="FFFFFF"/>
        <w:spacing w:after="0" w:line="240" w:lineRule="auto"/>
        <w:rPr>
          <w:rFonts w:ascii="Arial" w:hAnsi="Arial" w:eastAsia="Times New Roman" w:cs="Arial"/>
          <w:sz w:val="20"/>
          <w:szCs w:val="20"/>
          <w:lang w:val="vi-VN"/>
        </w:rPr>
      </w:pPr>
    </w:p>
    <w:p>
      <w:pPr>
        <w:shd w:val="clear" w:color="auto" w:fill="FFFFFF"/>
        <w:spacing w:after="0" w:line="240" w:lineRule="auto"/>
        <w:jc w:val="center"/>
        <w:rPr>
          <w:rFonts w:ascii="Arial" w:hAnsi="Arial" w:eastAsia="Times New Roman" w:cs="Arial"/>
          <w:sz w:val="20"/>
          <w:szCs w:val="20"/>
        </w:rPr>
      </w:pPr>
      <w:bookmarkStart w:id="0" w:name="loai_1"/>
      <w:r>
        <w:rPr>
          <w:rFonts w:ascii="Arial" w:hAnsi="Arial" w:eastAsia="Times New Roman" w:cs="Arial"/>
          <w:b/>
          <w:bCs/>
          <w:sz w:val="20"/>
          <w:szCs w:val="20"/>
          <w:lang w:val="vi-VN"/>
        </w:rPr>
        <w:t>QUYẾT ĐỊNH</w:t>
      </w:r>
      <w:bookmarkEnd w:id="0"/>
    </w:p>
    <w:p>
      <w:pPr>
        <w:shd w:val="clear" w:color="auto" w:fill="FFFFFF"/>
        <w:spacing w:after="0" w:line="240" w:lineRule="auto"/>
        <w:jc w:val="center"/>
        <w:rPr>
          <w:rFonts w:ascii="Arial" w:hAnsi="Arial" w:eastAsia="Times New Roman" w:cs="Arial"/>
          <w:b/>
          <w:sz w:val="20"/>
          <w:szCs w:val="20"/>
          <w:lang w:val="vi-VN"/>
        </w:rPr>
      </w:pPr>
      <w:bookmarkStart w:id="1" w:name="loai_1_name"/>
      <w:r>
        <w:rPr>
          <w:rFonts w:ascii="Arial" w:hAnsi="Arial" w:eastAsia="Times New Roman" w:cs="Arial"/>
          <w:b/>
          <w:sz w:val="20"/>
          <w:szCs w:val="20"/>
          <w:lang w:val="vi-VN"/>
        </w:rPr>
        <w:t>Ban hành Bảng giá đất giai đoạn 2020 - 2024 trên địa bàn tỉnh Hải Dương</w:t>
      </w:r>
      <w:bookmarkEnd w:id="1"/>
    </w:p>
    <w:p>
      <w:pPr>
        <w:shd w:val="clear" w:color="auto" w:fill="FFFFFF"/>
        <w:spacing w:after="0" w:line="240" w:lineRule="auto"/>
        <w:jc w:val="center"/>
        <w:rPr>
          <w:rFonts w:ascii="Arial" w:hAnsi="Arial" w:eastAsia="Times New Roman" w:cs="Arial"/>
          <w:sz w:val="20"/>
          <w:szCs w:val="20"/>
        </w:rPr>
      </w:pPr>
      <w:r>
        <w:rPr>
          <w:rFonts w:ascii="Arial" w:hAnsi="Arial" w:eastAsia="Times New Roman" w:cs="Arial"/>
          <w:sz w:val="20"/>
          <w:szCs w:val="20"/>
        </w:rPr>
        <w:t>-----------</w:t>
      </w:r>
    </w:p>
    <w:p>
      <w:pPr>
        <w:shd w:val="clear" w:color="auto" w:fill="FFFFFF"/>
        <w:spacing w:after="0" w:line="240" w:lineRule="auto"/>
        <w:jc w:val="center"/>
        <w:rPr>
          <w:rFonts w:ascii="Arial" w:hAnsi="Arial" w:eastAsia="Times New Roman" w:cs="Arial"/>
          <w:bCs/>
          <w:sz w:val="20"/>
          <w:szCs w:val="20"/>
          <w:lang w:val="vi-VN"/>
        </w:rPr>
      </w:pPr>
      <w:r>
        <w:rPr>
          <w:rFonts w:ascii="Arial" w:hAnsi="Arial" w:eastAsia="Times New Roman" w:cs="Arial"/>
          <w:bCs/>
          <w:sz w:val="20"/>
          <w:szCs w:val="20"/>
          <w:lang w:val="vi-VN"/>
        </w:rPr>
        <w:t>ỦY BAN NHÂN DÂN TỈNH HẢI DƯƠNG</w:t>
      </w:r>
    </w:p>
    <w:p>
      <w:pPr>
        <w:shd w:val="clear" w:color="auto" w:fill="FFFFFF"/>
        <w:spacing w:after="0" w:line="240" w:lineRule="auto"/>
        <w:jc w:val="center"/>
        <w:rPr>
          <w:rFonts w:ascii="Arial" w:hAnsi="Arial" w:eastAsia="Times New Roman" w:cs="Arial"/>
          <w:sz w:val="20"/>
          <w:szCs w:val="20"/>
        </w:rPr>
      </w:pP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i/>
          <w:iCs/>
          <w:sz w:val="20"/>
          <w:szCs w:val="20"/>
          <w:lang w:val="vi-VN"/>
        </w:rPr>
        <w:t>Căn cứ Luật tổ chức chính quyền địa phương ngày 19 tháng 6 năm 2015;</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i/>
          <w:iCs/>
          <w:sz w:val="20"/>
          <w:szCs w:val="20"/>
          <w:lang w:val="vi-VN"/>
        </w:rPr>
        <w:t>Căn cứ Luật Đất đai ngày 29 tháng 11 năm 2013;</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i/>
          <w:iCs/>
          <w:sz w:val="20"/>
          <w:szCs w:val="20"/>
          <w:lang w:val="vi-VN"/>
        </w:rPr>
        <w:t>Căn cứ Nghị định s</w:t>
      </w:r>
      <w:r>
        <w:rPr>
          <w:rFonts w:ascii="Arial" w:hAnsi="Arial" w:eastAsia="Times New Roman" w:cs="Arial"/>
          <w:i/>
          <w:iCs/>
          <w:sz w:val="20"/>
          <w:szCs w:val="20"/>
        </w:rPr>
        <w:t>ố</w:t>
      </w:r>
      <w:r>
        <w:rPr>
          <w:rFonts w:ascii="Arial" w:hAnsi="Arial" w:eastAsia="Times New Roman" w:cs="Arial"/>
          <w:i/>
          <w:iCs/>
          <w:sz w:val="20"/>
          <w:szCs w:val="20"/>
          <w:lang w:val="vi-VN"/>
        </w:rPr>
        <w:t> 44/20</w:t>
      </w:r>
      <w:r>
        <w:rPr>
          <w:rFonts w:ascii="Arial" w:hAnsi="Arial" w:eastAsia="Times New Roman" w:cs="Arial"/>
          <w:i/>
          <w:iCs/>
          <w:sz w:val="20"/>
          <w:szCs w:val="20"/>
        </w:rPr>
        <w:t>1</w:t>
      </w:r>
      <w:r>
        <w:rPr>
          <w:rFonts w:ascii="Arial" w:hAnsi="Arial" w:eastAsia="Times New Roman" w:cs="Arial"/>
          <w:i/>
          <w:iCs/>
          <w:sz w:val="20"/>
          <w:szCs w:val="20"/>
          <w:lang w:val="vi-VN"/>
        </w:rPr>
        <w:t>4/NĐ-CP ngày 15 tháng 5 năm 2014 của Ch</w:t>
      </w:r>
      <w:r>
        <w:rPr>
          <w:rFonts w:ascii="Arial" w:hAnsi="Arial" w:eastAsia="Times New Roman" w:cs="Arial"/>
          <w:i/>
          <w:iCs/>
          <w:sz w:val="20"/>
          <w:szCs w:val="20"/>
        </w:rPr>
        <w:t>í</w:t>
      </w:r>
      <w:r>
        <w:rPr>
          <w:rFonts w:ascii="Arial" w:hAnsi="Arial" w:eastAsia="Times New Roman" w:cs="Arial"/>
          <w:i/>
          <w:iCs/>
          <w:sz w:val="20"/>
          <w:szCs w:val="20"/>
          <w:lang w:val="vi-VN"/>
        </w:rPr>
        <w:t>nh phủ quy định về giá đất;</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i/>
          <w:iCs/>
          <w:sz w:val="20"/>
          <w:szCs w:val="20"/>
          <w:lang w:val="vi-VN"/>
        </w:rPr>
        <w:t>Căn c</w:t>
      </w:r>
      <w:r>
        <w:rPr>
          <w:rFonts w:ascii="Arial" w:hAnsi="Arial" w:eastAsia="Times New Roman" w:cs="Arial"/>
          <w:i/>
          <w:iCs/>
          <w:sz w:val="20"/>
          <w:szCs w:val="20"/>
        </w:rPr>
        <w:t>ứ </w:t>
      </w:r>
      <w:r>
        <w:rPr>
          <w:rFonts w:ascii="Arial" w:hAnsi="Arial" w:eastAsia="Times New Roman" w:cs="Arial"/>
          <w:i/>
          <w:iCs/>
          <w:sz w:val="20"/>
          <w:szCs w:val="20"/>
          <w:lang w:val="vi-VN"/>
        </w:rPr>
        <w:t>Nghị định s</w:t>
      </w:r>
      <w:r>
        <w:rPr>
          <w:rFonts w:ascii="Arial" w:hAnsi="Arial" w:eastAsia="Times New Roman" w:cs="Arial"/>
          <w:i/>
          <w:iCs/>
          <w:sz w:val="20"/>
          <w:szCs w:val="20"/>
        </w:rPr>
        <w:t>ố</w:t>
      </w:r>
      <w:r>
        <w:rPr>
          <w:rFonts w:ascii="Arial" w:hAnsi="Arial" w:eastAsia="Times New Roman" w:cs="Arial"/>
          <w:i/>
          <w:iCs/>
          <w:sz w:val="20"/>
          <w:szCs w:val="20"/>
          <w:lang w:val="vi-VN"/>
        </w:rPr>
        <w:t> 96/20</w:t>
      </w:r>
      <w:r>
        <w:rPr>
          <w:rFonts w:ascii="Arial" w:hAnsi="Arial" w:eastAsia="Times New Roman" w:cs="Arial"/>
          <w:i/>
          <w:iCs/>
          <w:sz w:val="20"/>
          <w:szCs w:val="20"/>
        </w:rPr>
        <w:t>1</w:t>
      </w:r>
      <w:r>
        <w:rPr>
          <w:rFonts w:ascii="Arial" w:hAnsi="Arial" w:eastAsia="Times New Roman" w:cs="Arial"/>
          <w:i/>
          <w:iCs/>
          <w:sz w:val="20"/>
          <w:szCs w:val="20"/>
          <w:lang w:val="vi-VN"/>
        </w:rPr>
        <w:t>4/NĐ-CP ngày 19 th</w:t>
      </w:r>
      <w:r>
        <w:rPr>
          <w:rFonts w:ascii="Arial" w:hAnsi="Arial" w:eastAsia="Times New Roman" w:cs="Arial"/>
          <w:i/>
          <w:iCs/>
          <w:sz w:val="20"/>
          <w:szCs w:val="20"/>
        </w:rPr>
        <w:t>á</w:t>
      </w:r>
      <w:r>
        <w:rPr>
          <w:rFonts w:ascii="Arial" w:hAnsi="Arial" w:eastAsia="Times New Roman" w:cs="Arial"/>
          <w:i/>
          <w:iCs/>
          <w:sz w:val="20"/>
          <w:szCs w:val="20"/>
          <w:lang w:val="vi-VN"/>
        </w:rPr>
        <w:t>ng 12 năm 2019 của Chính phủ quy định về khung giá đất;</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i/>
          <w:iCs/>
          <w:sz w:val="20"/>
          <w:szCs w:val="20"/>
          <w:lang w:val="vi-VN"/>
        </w:rPr>
        <w:t>Căn cứ Thông tư số 36/2014/TT-BTNMT ngày 30 tháng 6 năm 2014 của Bộ Tài nguyên và M</w:t>
      </w:r>
      <w:r>
        <w:rPr>
          <w:rFonts w:ascii="Arial" w:hAnsi="Arial" w:eastAsia="Times New Roman" w:cs="Arial"/>
          <w:i/>
          <w:iCs/>
          <w:sz w:val="20"/>
          <w:szCs w:val="20"/>
        </w:rPr>
        <w:t>ô</w:t>
      </w:r>
      <w:r>
        <w:rPr>
          <w:rFonts w:ascii="Arial" w:hAnsi="Arial" w:eastAsia="Times New Roman" w:cs="Arial"/>
          <w:i/>
          <w:iCs/>
          <w:sz w:val="20"/>
          <w:szCs w:val="20"/>
          <w:lang w:val="vi-VN"/>
        </w:rPr>
        <w:t>i trường quy định chi tiết phương pháp định gi</w:t>
      </w:r>
      <w:r>
        <w:rPr>
          <w:rFonts w:ascii="Arial" w:hAnsi="Arial" w:eastAsia="Times New Roman" w:cs="Arial"/>
          <w:i/>
          <w:iCs/>
          <w:sz w:val="20"/>
          <w:szCs w:val="20"/>
        </w:rPr>
        <w:t>á</w:t>
      </w:r>
      <w:r>
        <w:rPr>
          <w:rFonts w:ascii="Arial" w:hAnsi="Arial" w:eastAsia="Times New Roman" w:cs="Arial"/>
          <w:i/>
          <w:iCs/>
          <w:sz w:val="20"/>
          <w:szCs w:val="20"/>
          <w:lang w:val="vi-VN"/>
        </w:rPr>
        <w:t> đ</w:t>
      </w:r>
      <w:r>
        <w:rPr>
          <w:rFonts w:ascii="Arial" w:hAnsi="Arial" w:eastAsia="Times New Roman" w:cs="Arial"/>
          <w:i/>
          <w:iCs/>
          <w:sz w:val="20"/>
          <w:szCs w:val="20"/>
        </w:rPr>
        <w:t>ấ</w:t>
      </w:r>
      <w:r>
        <w:rPr>
          <w:rFonts w:ascii="Arial" w:hAnsi="Arial" w:eastAsia="Times New Roman" w:cs="Arial"/>
          <w:i/>
          <w:iCs/>
          <w:sz w:val="20"/>
          <w:szCs w:val="20"/>
          <w:lang w:val="vi-VN"/>
        </w:rPr>
        <w:t>t, xây dựng, điều ch</w:t>
      </w:r>
      <w:r>
        <w:rPr>
          <w:rFonts w:ascii="Arial" w:hAnsi="Arial" w:eastAsia="Times New Roman" w:cs="Arial"/>
          <w:i/>
          <w:iCs/>
          <w:sz w:val="20"/>
          <w:szCs w:val="20"/>
        </w:rPr>
        <w:t>ỉ</w:t>
      </w:r>
      <w:r>
        <w:rPr>
          <w:rFonts w:ascii="Arial" w:hAnsi="Arial" w:eastAsia="Times New Roman" w:cs="Arial"/>
          <w:i/>
          <w:iCs/>
          <w:sz w:val="20"/>
          <w:szCs w:val="20"/>
          <w:lang w:val="vi-VN"/>
        </w:rPr>
        <w:t>nh bảng giá đất, định giá đất cụ thể và tư v</w:t>
      </w:r>
      <w:r>
        <w:rPr>
          <w:rFonts w:ascii="Arial" w:hAnsi="Arial" w:eastAsia="Times New Roman" w:cs="Arial"/>
          <w:i/>
          <w:iCs/>
          <w:sz w:val="20"/>
          <w:szCs w:val="20"/>
        </w:rPr>
        <w:t>ấ</w:t>
      </w:r>
      <w:r>
        <w:rPr>
          <w:rFonts w:ascii="Arial" w:hAnsi="Arial" w:eastAsia="Times New Roman" w:cs="Arial"/>
          <w:i/>
          <w:iCs/>
          <w:sz w:val="20"/>
          <w:szCs w:val="20"/>
          <w:lang w:val="vi-VN"/>
        </w:rPr>
        <w:t>n xác định gi</w:t>
      </w:r>
      <w:r>
        <w:rPr>
          <w:rFonts w:ascii="Arial" w:hAnsi="Arial" w:eastAsia="Times New Roman" w:cs="Arial"/>
          <w:i/>
          <w:iCs/>
          <w:sz w:val="20"/>
          <w:szCs w:val="20"/>
        </w:rPr>
        <w:t>á</w:t>
      </w:r>
      <w:r>
        <w:rPr>
          <w:rFonts w:ascii="Arial" w:hAnsi="Arial" w:eastAsia="Times New Roman" w:cs="Arial"/>
          <w:i/>
          <w:iCs/>
          <w:sz w:val="20"/>
          <w:szCs w:val="20"/>
          <w:lang w:val="vi-VN"/>
        </w:rPr>
        <w:t> đ</w:t>
      </w:r>
      <w:r>
        <w:rPr>
          <w:rFonts w:ascii="Arial" w:hAnsi="Arial" w:eastAsia="Times New Roman" w:cs="Arial"/>
          <w:i/>
          <w:iCs/>
          <w:sz w:val="20"/>
          <w:szCs w:val="20"/>
        </w:rPr>
        <w:t>ấ</w:t>
      </w:r>
      <w:r>
        <w:rPr>
          <w:rFonts w:ascii="Arial" w:hAnsi="Arial" w:eastAsia="Times New Roman" w:cs="Arial"/>
          <w:i/>
          <w:iCs/>
          <w:sz w:val="20"/>
          <w:szCs w:val="20"/>
          <w:lang w:val="vi-VN"/>
        </w:rPr>
        <w:t>t;</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i/>
          <w:iCs/>
          <w:sz w:val="20"/>
          <w:szCs w:val="20"/>
          <w:lang w:val="vi-VN"/>
        </w:rPr>
        <w:t>Căn cứ Nghị quyết s</w:t>
      </w:r>
      <w:r>
        <w:rPr>
          <w:rFonts w:ascii="Arial" w:hAnsi="Arial" w:eastAsia="Times New Roman" w:cs="Arial"/>
          <w:i/>
          <w:iCs/>
          <w:sz w:val="20"/>
          <w:szCs w:val="20"/>
        </w:rPr>
        <w:t>ố</w:t>
      </w:r>
      <w:r>
        <w:rPr>
          <w:rFonts w:ascii="Arial" w:hAnsi="Arial" w:eastAsia="Times New Roman" w:cs="Arial"/>
          <w:i/>
          <w:iCs/>
          <w:sz w:val="20"/>
          <w:szCs w:val="20"/>
          <w:lang w:val="vi-VN"/>
        </w:rPr>
        <w:t> 24/20</w:t>
      </w:r>
      <w:r>
        <w:rPr>
          <w:rFonts w:ascii="Arial" w:hAnsi="Arial" w:eastAsia="Times New Roman" w:cs="Arial"/>
          <w:i/>
          <w:iCs/>
          <w:sz w:val="20"/>
          <w:szCs w:val="20"/>
        </w:rPr>
        <w:t>1</w:t>
      </w:r>
      <w:r>
        <w:rPr>
          <w:rFonts w:ascii="Arial" w:hAnsi="Arial" w:eastAsia="Times New Roman" w:cs="Arial"/>
          <w:i/>
          <w:iCs/>
          <w:sz w:val="20"/>
          <w:szCs w:val="20"/>
          <w:lang w:val="vi-VN"/>
        </w:rPr>
        <w:t>9/NQ-HĐND ngày 13 tháng 12 năm 2019 của Hội đồng nhân dân tỉnh Hải Dương về Bảng giá đất giai đoạn 2020 - 2024 trên địa bàn tỉnh Hải Dương;</w:t>
      </w:r>
    </w:p>
    <w:p>
      <w:pPr>
        <w:shd w:val="clear" w:color="auto" w:fill="FFFFFF"/>
        <w:spacing w:after="0" w:line="240" w:lineRule="auto"/>
        <w:ind w:firstLine="720"/>
        <w:jc w:val="both"/>
        <w:rPr>
          <w:rFonts w:ascii="Arial" w:hAnsi="Arial" w:eastAsia="Times New Roman" w:cs="Arial"/>
          <w:i/>
          <w:iCs/>
          <w:sz w:val="20"/>
          <w:szCs w:val="20"/>
          <w:lang w:val="vi-VN"/>
        </w:rPr>
      </w:pPr>
      <w:r>
        <w:rPr>
          <w:rFonts w:ascii="Arial" w:hAnsi="Arial" w:eastAsia="Times New Roman" w:cs="Arial"/>
          <w:i/>
          <w:iCs/>
          <w:sz w:val="20"/>
          <w:szCs w:val="20"/>
          <w:lang w:val="vi-VN"/>
        </w:rPr>
        <w:t>Theo đề nghị của Gi</w:t>
      </w:r>
      <w:r>
        <w:rPr>
          <w:rFonts w:ascii="Arial" w:hAnsi="Arial" w:eastAsia="Times New Roman" w:cs="Arial"/>
          <w:i/>
          <w:iCs/>
          <w:sz w:val="20"/>
          <w:szCs w:val="20"/>
        </w:rPr>
        <w:t>á</w:t>
      </w:r>
      <w:r>
        <w:rPr>
          <w:rFonts w:ascii="Arial" w:hAnsi="Arial" w:eastAsia="Times New Roman" w:cs="Arial"/>
          <w:i/>
          <w:iCs/>
          <w:sz w:val="20"/>
          <w:szCs w:val="20"/>
          <w:lang w:val="vi-VN"/>
        </w:rPr>
        <w:t>m đốc Sở Tài nguyên và Môi trường.</w:t>
      </w:r>
    </w:p>
    <w:p>
      <w:pPr>
        <w:shd w:val="clear" w:color="auto" w:fill="FFFFFF"/>
        <w:spacing w:after="0" w:line="240" w:lineRule="auto"/>
        <w:rPr>
          <w:rFonts w:ascii="Arial" w:hAnsi="Arial" w:eastAsia="Times New Roman" w:cs="Arial"/>
          <w:sz w:val="20"/>
          <w:szCs w:val="20"/>
        </w:rPr>
      </w:pPr>
    </w:p>
    <w:p>
      <w:pPr>
        <w:shd w:val="clear" w:color="auto" w:fill="FFFFFF"/>
        <w:spacing w:after="0" w:line="240" w:lineRule="auto"/>
        <w:jc w:val="center"/>
        <w:rPr>
          <w:rFonts w:ascii="Arial" w:hAnsi="Arial" w:eastAsia="Times New Roman" w:cs="Arial"/>
          <w:b/>
          <w:bCs/>
          <w:sz w:val="20"/>
          <w:szCs w:val="20"/>
          <w:lang w:val="vi-VN"/>
        </w:rPr>
      </w:pPr>
      <w:r>
        <w:rPr>
          <w:rFonts w:ascii="Arial" w:hAnsi="Arial" w:eastAsia="Times New Roman" w:cs="Arial"/>
          <w:b/>
          <w:bCs/>
          <w:sz w:val="20"/>
          <w:szCs w:val="20"/>
          <w:lang w:val="vi-VN"/>
        </w:rPr>
        <w:t>QUYẾT ĐỊNH:</w:t>
      </w:r>
    </w:p>
    <w:p>
      <w:pPr>
        <w:shd w:val="clear" w:color="auto" w:fill="FFFFFF"/>
        <w:spacing w:after="0" w:line="240" w:lineRule="auto"/>
        <w:jc w:val="center"/>
        <w:rPr>
          <w:rFonts w:ascii="Arial" w:hAnsi="Arial" w:eastAsia="Times New Roman" w:cs="Arial"/>
          <w:sz w:val="20"/>
          <w:szCs w:val="20"/>
        </w:rPr>
      </w:pPr>
    </w:p>
    <w:p>
      <w:pPr>
        <w:shd w:val="clear" w:color="auto" w:fill="FFFFFF"/>
        <w:spacing w:after="120" w:line="240" w:lineRule="auto"/>
        <w:ind w:firstLine="720"/>
        <w:jc w:val="both"/>
        <w:rPr>
          <w:rFonts w:ascii="Arial" w:hAnsi="Arial" w:eastAsia="Times New Roman" w:cs="Arial"/>
          <w:sz w:val="20"/>
          <w:szCs w:val="20"/>
        </w:rPr>
      </w:pPr>
      <w:bookmarkStart w:id="2" w:name="dieu_1"/>
      <w:r>
        <w:rPr>
          <w:rFonts w:ascii="Arial" w:hAnsi="Arial" w:eastAsia="Times New Roman" w:cs="Arial"/>
          <w:b/>
          <w:bCs/>
          <w:sz w:val="20"/>
          <w:szCs w:val="20"/>
          <w:lang w:val="vi-VN"/>
        </w:rPr>
        <w:t>Điều 1.</w:t>
      </w:r>
      <w:bookmarkEnd w:id="2"/>
      <w:r>
        <w:rPr>
          <w:rFonts w:ascii="Arial" w:hAnsi="Arial" w:eastAsia="Times New Roman" w:cs="Arial"/>
          <w:b/>
          <w:bCs/>
          <w:sz w:val="20"/>
          <w:szCs w:val="20"/>
          <w:lang w:val="vi-VN"/>
        </w:rPr>
        <w:t> </w:t>
      </w:r>
      <w:bookmarkStart w:id="3" w:name="dieu_1_name"/>
      <w:r>
        <w:rPr>
          <w:rFonts w:ascii="Arial" w:hAnsi="Arial" w:eastAsia="Times New Roman" w:cs="Arial"/>
          <w:sz w:val="20"/>
          <w:szCs w:val="20"/>
          <w:lang w:val="vi-VN"/>
        </w:rPr>
        <w:t xml:space="preserve">Ban hành kèm theo </w:t>
      </w:r>
      <w:bookmarkStart w:id="16" w:name="_GoBack"/>
      <w:bookmarkEnd w:id="16"/>
      <w:r>
        <w:rPr>
          <w:rFonts w:ascii="Arial" w:hAnsi="Arial" w:eastAsia="Times New Roman" w:cs="Arial"/>
          <w:sz w:val="20"/>
          <w:szCs w:val="20"/>
          <w:lang w:val="vi-VN"/>
        </w:rPr>
        <w:t>Quyết định này “Bảng giá đất giai đoạn 2020 - 2024 trên địa bàn tỉnh Hải Dương”.</w:t>
      </w:r>
      <w:bookmarkEnd w:id="3"/>
    </w:p>
    <w:p>
      <w:pPr>
        <w:shd w:val="clear" w:color="auto" w:fill="FFFFFF"/>
        <w:spacing w:after="120" w:line="240" w:lineRule="auto"/>
        <w:ind w:firstLine="720"/>
        <w:jc w:val="both"/>
        <w:rPr>
          <w:rFonts w:ascii="Arial" w:hAnsi="Arial" w:eastAsia="Times New Roman" w:cs="Arial"/>
          <w:sz w:val="20"/>
          <w:szCs w:val="20"/>
          <w:lang w:val="vi-VN"/>
        </w:rPr>
      </w:pPr>
      <w:bookmarkStart w:id="4" w:name="dieu_2"/>
      <w:r>
        <w:rPr>
          <w:rFonts w:ascii="Arial" w:hAnsi="Arial" w:eastAsia="Times New Roman" w:cs="Arial"/>
          <w:b/>
          <w:bCs/>
          <w:sz w:val="20"/>
          <w:szCs w:val="20"/>
          <w:lang w:val="vi-VN"/>
        </w:rPr>
        <w:t>Điều 2.</w:t>
      </w:r>
      <w:bookmarkEnd w:id="4"/>
      <w:r>
        <w:rPr>
          <w:rFonts w:ascii="Arial" w:hAnsi="Arial" w:eastAsia="Times New Roman" w:cs="Arial"/>
          <w:b/>
          <w:bCs/>
          <w:sz w:val="20"/>
          <w:szCs w:val="20"/>
          <w:lang w:val="vi-VN"/>
        </w:rPr>
        <w:t> </w:t>
      </w:r>
      <w:bookmarkStart w:id="5" w:name="dieu_2_name"/>
      <w:r>
        <w:rPr>
          <w:rFonts w:ascii="Arial" w:hAnsi="Arial" w:eastAsia="Times New Roman" w:cs="Arial"/>
          <w:sz w:val="20"/>
          <w:szCs w:val="20"/>
          <w:lang w:val="vi-VN"/>
        </w:rPr>
        <w:t>Quyết định này có hiệu lực thi hành kể từ ngày 01 tháng 01 năm 2020 đến hết ngày 31 tháng 12 năm 2024 và thay thế các quyết định: Quyết định số </w:t>
      </w:r>
      <w:bookmarkEnd w:id="5"/>
      <w:r>
        <w:rPr>
          <w:rFonts w:ascii="Arial" w:hAnsi="Arial" w:eastAsia="Times New Roman" w:cs="Arial"/>
          <w:sz w:val="20"/>
          <w:szCs w:val="20"/>
          <w:lang w:val="vi-VN"/>
        </w:rPr>
        <w:t>33/2014/QĐ-UBND ngày 20 tháng 12 năm 2014 của Ủy ban nhân dân tỉnh Hải Dương ban hành Bảng giá đất trên địa bàn tỉnh Hải Dương; Quyết định số 06/2016/QĐ-UBND ngày 14 tháng 4 năm 2016 của Ủy ban nhân dân tỉnh Hải Dương về việc bổ sung một số nội dung tại Bảng giá đất đối với từng loại đất cụ thể ban hành kèm theo Quyết định số 33/2014/QĐ-UBND ngày 20 tháng 12 năm 2014 và Quyết định số 16/2015/QĐ-UBND ngày 06 tháng 8 năm 2015 của Ủy ban nhân dân tỉnh Hải Dương; Quyết định số 35/2017/QĐ-UBND ngày 23 tháng 12 năm 2017 của Ủy ban nhân dân tỉnh Hải Dương Bảng giá đất điều chỉnh, bổ sung trên địa bàn tỉnh Hải Dương, giai đoạn 2015 -2019.</w:t>
      </w:r>
    </w:p>
    <w:p>
      <w:pPr>
        <w:shd w:val="clear" w:color="auto" w:fill="FFFFFF"/>
        <w:spacing w:after="0" w:line="240" w:lineRule="auto"/>
        <w:ind w:firstLine="720"/>
        <w:jc w:val="both"/>
        <w:rPr>
          <w:rFonts w:ascii="Arial" w:hAnsi="Arial" w:eastAsia="Times New Roman" w:cs="Arial"/>
          <w:sz w:val="20"/>
          <w:szCs w:val="20"/>
        </w:rPr>
      </w:pPr>
      <w:bookmarkStart w:id="6" w:name="dieu_3"/>
      <w:r>
        <w:rPr>
          <w:rFonts w:ascii="Arial" w:hAnsi="Arial" w:eastAsia="Times New Roman" w:cs="Arial"/>
          <w:b/>
          <w:bCs/>
          <w:sz w:val="20"/>
          <w:szCs w:val="20"/>
          <w:lang w:val="vi-VN"/>
        </w:rPr>
        <w:t>Điều 3.</w:t>
      </w:r>
      <w:bookmarkEnd w:id="6"/>
      <w:r>
        <w:rPr>
          <w:rFonts w:ascii="Arial" w:hAnsi="Arial" w:eastAsia="Times New Roman" w:cs="Arial"/>
          <w:b/>
          <w:bCs/>
          <w:sz w:val="20"/>
          <w:szCs w:val="20"/>
          <w:lang w:val="vi-VN"/>
        </w:rPr>
        <w:t> </w:t>
      </w:r>
      <w:bookmarkStart w:id="7" w:name="dieu_3_name"/>
      <w:r>
        <w:rPr>
          <w:rFonts w:ascii="Arial" w:hAnsi="Arial" w:eastAsia="Times New Roman" w:cs="Arial"/>
          <w:sz w:val="20"/>
          <w:szCs w:val="20"/>
          <w:lang w:val="vi-VN"/>
        </w:rPr>
        <w:t>Chánh Văn phòng Ủy ban nhân dân tỉnh; Giám đốc Sở Tài nguyên và Môi trường, Thủ trưởng các Sở, ban, ngành, đoàn thể; Chủ tịch Ủy ban nhân dân các huyện, thị xã, thành phố; các tổ chức, hộ gia đình, cá nhân có liên quan chịu trách nhiệm thi hành Quyết định này./.</w:t>
      </w:r>
      <w:bookmarkEnd w:id="7"/>
    </w:p>
    <w:p>
      <w:pPr>
        <w:shd w:val="clear" w:color="auto" w:fill="FFFFFF"/>
        <w:spacing w:after="0" w:line="240" w:lineRule="auto"/>
        <w:rPr>
          <w:rFonts w:ascii="Arial" w:hAnsi="Arial" w:eastAsia="Times New Roman" w:cs="Arial"/>
          <w:sz w:val="20"/>
          <w:szCs w:val="20"/>
        </w:rPr>
      </w:pPr>
      <w:r>
        <w:rPr>
          <w:rFonts w:ascii="Arial" w:hAnsi="Arial" w:eastAsia="Times New Roman" w:cs="Arial"/>
          <w:sz w:val="20"/>
          <w:szCs w:val="20"/>
        </w:rPr>
        <w:t> </w:t>
      </w:r>
    </w:p>
    <w:tbl>
      <w:tblPr>
        <w:tblStyle w:val="7"/>
        <w:tblW w:w="0" w:type="auto"/>
        <w:jc w:val="center"/>
        <w:tblCellSpacing w:w="0" w:type="dxa"/>
        <w:shd w:val="clear" w:color="auto" w:fill="FFFFFF"/>
        <w:tblLayout w:type="autofit"/>
        <w:tblCellMar>
          <w:top w:w="0" w:type="dxa"/>
          <w:left w:w="0" w:type="dxa"/>
          <w:bottom w:w="0" w:type="dxa"/>
          <w:right w:w="0" w:type="dxa"/>
        </w:tblCellMar>
      </w:tblPr>
      <w:tblGrid>
        <w:gridCol w:w="5697"/>
        <w:gridCol w:w="3717"/>
      </w:tblGrid>
      <w:tr>
        <w:tblPrEx>
          <w:tblCellMar>
            <w:top w:w="0" w:type="dxa"/>
            <w:left w:w="0" w:type="dxa"/>
            <w:bottom w:w="0" w:type="dxa"/>
            <w:right w:w="0" w:type="dxa"/>
          </w:tblCellMar>
        </w:tblPrEx>
        <w:trPr>
          <w:wBefore w:w="0" w:type="dxa"/>
          <w:wAfter w:w="0" w:type="dxa"/>
          <w:tblCellSpacing w:w="0" w:type="dxa"/>
          <w:jc w:val="center"/>
        </w:trPr>
        <w:tc>
          <w:tcPr>
            <w:tcW w:w="5697" w:type="dxa"/>
            <w:shd w:val="clear" w:color="auto" w:fill="FFFFFF"/>
            <w:noWrap w:val="0"/>
            <w:tcMar>
              <w:top w:w="0" w:type="dxa"/>
              <w:left w:w="108" w:type="dxa"/>
              <w:bottom w:w="0" w:type="dxa"/>
              <w:right w:w="108" w:type="dxa"/>
            </w:tcMar>
            <w:vAlign w:val="top"/>
          </w:tcPr>
          <w:p>
            <w:pPr>
              <w:spacing w:after="0" w:line="240" w:lineRule="auto"/>
              <w:rPr>
                <w:rFonts w:ascii="Arial" w:hAnsi="Arial" w:eastAsia="Times New Roman" w:cs="Arial"/>
                <w:sz w:val="20"/>
                <w:szCs w:val="20"/>
                <w:lang w:val="vi-VN"/>
              </w:rPr>
            </w:pPr>
            <w:r>
              <w:rPr>
                <w:rFonts w:ascii="Arial" w:hAnsi="Arial" w:eastAsia="Times New Roman" w:cs="Arial"/>
                <w:b/>
                <w:bCs/>
                <w:i/>
                <w:iCs/>
                <w:sz w:val="20"/>
                <w:szCs w:val="20"/>
                <w:lang w:val="vi-VN"/>
              </w:rPr>
              <w:t>Nơi nhận:</w:t>
            </w:r>
            <w:r>
              <w:rPr>
                <w:rFonts w:ascii="Arial" w:hAnsi="Arial" w:eastAsia="Times New Roman" w:cs="Arial"/>
                <w:b/>
                <w:bCs/>
                <w:i/>
                <w:iCs/>
                <w:sz w:val="20"/>
                <w:szCs w:val="20"/>
                <w:lang w:val="vi-VN"/>
              </w:rPr>
              <w:br w:type="textWrapping"/>
            </w:r>
            <w:r>
              <w:rPr>
                <w:rFonts w:ascii="Arial" w:hAnsi="Arial" w:eastAsia="Times New Roman" w:cs="Arial"/>
                <w:sz w:val="20"/>
                <w:szCs w:val="20"/>
                <w:lang w:val="vi-VN"/>
              </w:rPr>
              <w:t>- Văn phòng Chính phủ;</w:t>
            </w:r>
            <w:r>
              <w:rPr>
                <w:rFonts w:ascii="Arial" w:hAnsi="Arial" w:eastAsia="Times New Roman" w:cs="Arial"/>
                <w:sz w:val="20"/>
                <w:szCs w:val="20"/>
                <w:lang w:val="vi-VN"/>
              </w:rPr>
              <w:br w:type="textWrapping"/>
            </w:r>
            <w:r>
              <w:rPr>
                <w:rFonts w:ascii="Arial" w:hAnsi="Arial" w:eastAsia="Times New Roman" w:cs="Arial"/>
                <w:sz w:val="20"/>
                <w:szCs w:val="20"/>
                <w:lang w:val="vi-VN"/>
              </w:rPr>
              <w:t>- Bộ Tài nguyên và Môi trường;</w:t>
            </w:r>
            <w:r>
              <w:rPr>
                <w:rFonts w:ascii="Arial" w:hAnsi="Arial" w:eastAsia="Times New Roman" w:cs="Arial"/>
                <w:sz w:val="20"/>
                <w:szCs w:val="20"/>
                <w:lang w:val="vi-VN"/>
              </w:rPr>
              <w:br w:type="textWrapping"/>
            </w:r>
            <w:r>
              <w:rPr>
                <w:rFonts w:ascii="Arial" w:hAnsi="Arial" w:eastAsia="Times New Roman" w:cs="Arial"/>
                <w:sz w:val="20"/>
                <w:szCs w:val="20"/>
                <w:lang w:val="vi-VN"/>
              </w:rPr>
              <w:t>- Bộ Tài chính;</w:t>
            </w:r>
            <w:r>
              <w:rPr>
                <w:rFonts w:ascii="Arial" w:hAnsi="Arial" w:eastAsia="Times New Roman" w:cs="Arial"/>
                <w:sz w:val="20"/>
                <w:szCs w:val="20"/>
                <w:lang w:val="vi-VN"/>
              </w:rPr>
              <w:br w:type="textWrapping"/>
            </w:r>
            <w:r>
              <w:rPr>
                <w:rFonts w:ascii="Arial" w:hAnsi="Arial" w:eastAsia="Times New Roman" w:cs="Arial"/>
                <w:sz w:val="20"/>
                <w:szCs w:val="20"/>
                <w:lang w:val="vi-VN"/>
              </w:rPr>
              <w:t>- Cục kiểm tra văn bản - Bộ Tư pháp;</w:t>
            </w:r>
            <w:r>
              <w:rPr>
                <w:rFonts w:ascii="Arial" w:hAnsi="Arial" w:eastAsia="Times New Roman" w:cs="Arial"/>
                <w:sz w:val="20"/>
                <w:szCs w:val="20"/>
                <w:lang w:val="vi-VN"/>
              </w:rPr>
              <w:br w:type="textWrapping"/>
            </w:r>
            <w:r>
              <w:rPr>
                <w:rFonts w:ascii="Arial" w:hAnsi="Arial" w:eastAsia="Times New Roman" w:cs="Arial"/>
                <w:sz w:val="20"/>
                <w:szCs w:val="20"/>
                <w:lang w:val="vi-VN"/>
              </w:rPr>
              <w:t>- Thường trực Tỉnh ủy;</w:t>
            </w:r>
            <w:r>
              <w:rPr>
                <w:rFonts w:ascii="Arial" w:hAnsi="Arial" w:eastAsia="Times New Roman" w:cs="Arial"/>
                <w:sz w:val="20"/>
                <w:szCs w:val="20"/>
                <w:lang w:val="vi-VN"/>
              </w:rPr>
              <w:br w:type="textWrapping"/>
            </w:r>
            <w:r>
              <w:rPr>
                <w:rFonts w:ascii="Arial" w:hAnsi="Arial" w:eastAsia="Times New Roman" w:cs="Arial"/>
                <w:sz w:val="20"/>
                <w:szCs w:val="20"/>
                <w:lang w:val="vi-VN"/>
              </w:rPr>
              <w:t>- Thường trực HĐND tỉnh;</w:t>
            </w:r>
            <w:r>
              <w:rPr>
                <w:rFonts w:ascii="Arial" w:hAnsi="Arial" w:eastAsia="Times New Roman" w:cs="Arial"/>
                <w:sz w:val="20"/>
                <w:szCs w:val="20"/>
                <w:lang w:val="vi-VN"/>
              </w:rPr>
              <w:br w:type="textWrapping"/>
            </w:r>
            <w:r>
              <w:rPr>
                <w:rFonts w:ascii="Arial" w:hAnsi="Arial" w:eastAsia="Times New Roman" w:cs="Arial"/>
                <w:sz w:val="20"/>
                <w:szCs w:val="20"/>
                <w:lang w:val="vi-VN"/>
              </w:rPr>
              <w:t>- Chủ tịch, các Phó Chủ tịch UBND tỉnh;</w:t>
            </w:r>
            <w:r>
              <w:rPr>
                <w:rFonts w:ascii="Arial" w:hAnsi="Arial" w:eastAsia="Times New Roman" w:cs="Arial"/>
                <w:sz w:val="20"/>
                <w:szCs w:val="20"/>
                <w:lang w:val="vi-VN"/>
              </w:rPr>
              <w:br w:type="textWrapping"/>
            </w:r>
            <w:r>
              <w:rPr>
                <w:rFonts w:ascii="Arial" w:hAnsi="Arial" w:eastAsia="Times New Roman" w:cs="Arial"/>
                <w:sz w:val="20"/>
                <w:szCs w:val="20"/>
                <w:lang w:val="vi-VN"/>
              </w:rPr>
              <w:t>- Trưởng Đoàn Đại biểu Quốc hội tỉnh;</w:t>
            </w:r>
            <w:r>
              <w:rPr>
                <w:rFonts w:ascii="Arial" w:hAnsi="Arial" w:eastAsia="Times New Roman" w:cs="Arial"/>
                <w:sz w:val="20"/>
                <w:szCs w:val="20"/>
                <w:lang w:val="vi-VN"/>
              </w:rPr>
              <w:br w:type="textWrapping"/>
            </w:r>
            <w:r>
              <w:rPr>
                <w:rFonts w:ascii="Arial" w:hAnsi="Arial" w:eastAsia="Times New Roman" w:cs="Arial"/>
                <w:sz w:val="20"/>
                <w:szCs w:val="20"/>
                <w:lang w:val="vi-VN"/>
              </w:rPr>
              <w:t>- Các Phó Chánh Văn phòng UBND tỉnh;</w:t>
            </w:r>
            <w:r>
              <w:rPr>
                <w:rFonts w:ascii="Arial" w:hAnsi="Arial" w:eastAsia="Times New Roman" w:cs="Arial"/>
                <w:sz w:val="20"/>
                <w:szCs w:val="20"/>
                <w:lang w:val="vi-VN"/>
              </w:rPr>
              <w:br w:type="textWrapping"/>
            </w:r>
            <w:r>
              <w:rPr>
                <w:rFonts w:ascii="Arial" w:hAnsi="Arial" w:eastAsia="Times New Roman" w:cs="Arial"/>
                <w:sz w:val="20"/>
                <w:szCs w:val="20"/>
                <w:lang w:val="vi-VN"/>
              </w:rPr>
              <w:t>- Trưởng, Phó phòng Chuyên viên liên quan;</w:t>
            </w:r>
            <w:r>
              <w:rPr>
                <w:rFonts w:ascii="Arial" w:hAnsi="Arial" w:eastAsia="Times New Roman" w:cs="Arial"/>
                <w:sz w:val="20"/>
                <w:szCs w:val="20"/>
                <w:lang w:val="vi-VN"/>
              </w:rPr>
              <w:br w:type="textWrapping"/>
            </w:r>
            <w:r>
              <w:rPr>
                <w:rFonts w:ascii="Arial" w:hAnsi="Arial" w:eastAsia="Times New Roman" w:cs="Arial"/>
                <w:sz w:val="20"/>
                <w:szCs w:val="20"/>
                <w:lang w:val="vi-VN"/>
              </w:rPr>
              <w:t>- Như điều 3;</w:t>
            </w:r>
            <w:r>
              <w:rPr>
                <w:rFonts w:ascii="Arial" w:hAnsi="Arial" w:eastAsia="Times New Roman" w:cs="Arial"/>
                <w:sz w:val="20"/>
                <w:szCs w:val="20"/>
                <w:lang w:val="vi-VN"/>
              </w:rPr>
              <w:br w:type="textWrapping"/>
            </w:r>
            <w:r>
              <w:rPr>
                <w:rFonts w:ascii="Arial" w:hAnsi="Arial" w:eastAsia="Times New Roman" w:cs="Arial"/>
                <w:sz w:val="20"/>
                <w:szCs w:val="20"/>
                <w:lang w:val="vi-VN"/>
              </w:rPr>
              <w:t>- Trung tâm Công nghệ thông tin - VPUBND tỉnh;</w:t>
            </w:r>
            <w:r>
              <w:rPr>
                <w:rFonts w:ascii="Arial" w:hAnsi="Arial" w:eastAsia="Times New Roman" w:cs="Arial"/>
                <w:sz w:val="20"/>
                <w:szCs w:val="20"/>
                <w:lang w:val="vi-VN"/>
              </w:rPr>
              <w:br w:type="textWrapping"/>
            </w:r>
            <w:r>
              <w:rPr>
                <w:rFonts w:ascii="Arial" w:hAnsi="Arial" w:eastAsia="Times New Roman" w:cs="Arial"/>
                <w:sz w:val="20"/>
                <w:szCs w:val="20"/>
                <w:lang w:val="vi-VN"/>
              </w:rPr>
              <w:t>- Lưu: VP, Thụy.</w:t>
            </w:r>
          </w:p>
        </w:tc>
        <w:tc>
          <w:tcPr>
            <w:tcW w:w="3717" w:type="dxa"/>
            <w:shd w:val="clear" w:color="auto" w:fill="FFFFFF"/>
            <w:noWrap w:val="0"/>
            <w:tcMar>
              <w:top w:w="0" w:type="dxa"/>
              <w:left w:w="108" w:type="dxa"/>
              <w:bottom w:w="0" w:type="dxa"/>
              <w:right w:w="108" w:type="dxa"/>
            </w:tcMar>
            <w:vAlign w:val="top"/>
          </w:tcPr>
          <w:p>
            <w:pPr>
              <w:spacing w:after="0" w:line="240" w:lineRule="auto"/>
              <w:jc w:val="center"/>
              <w:rPr>
                <w:rFonts w:ascii="Arial" w:hAnsi="Arial" w:eastAsia="Times New Roman" w:cs="Arial"/>
                <w:sz w:val="20"/>
                <w:szCs w:val="20"/>
              </w:rPr>
            </w:pPr>
            <w:r>
              <w:rPr>
                <w:rFonts w:ascii="Arial" w:hAnsi="Arial" w:eastAsia="Times New Roman" w:cs="Arial"/>
                <w:b/>
                <w:bCs/>
                <w:sz w:val="20"/>
                <w:szCs w:val="20"/>
              </w:rPr>
              <w:t>TM. ỦY BAN NHÂN DÂN</w:t>
            </w:r>
            <w:r>
              <w:rPr>
                <w:rFonts w:ascii="Arial" w:hAnsi="Arial" w:eastAsia="Times New Roman" w:cs="Arial"/>
                <w:b/>
                <w:bCs/>
                <w:sz w:val="20"/>
                <w:szCs w:val="20"/>
              </w:rPr>
              <w:br w:type="textWrapping"/>
            </w:r>
            <w:r>
              <w:rPr>
                <w:rFonts w:ascii="Arial" w:hAnsi="Arial" w:eastAsia="Times New Roman" w:cs="Arial"/>
                <w:b/>
                <w:bCs/>
                <w:sz w:val="20"/>
                <w:szCs w:val="20"/>
              </w:rPr>
              <w:t>CHỦ TỊCH</w:t>
            </w:r>
            <w:r>
              <w:rPr>
                <w:rFonts w:ascii="Arial" w:hAnsi="Arial" w:eastAsia="Times New Roman" w:cs="Arial"/>
                <w:b/>
                <w:bCs/>
                <w:sz w:val="20"/>
                <w:szCs w:val="20"/>
              </w:rPr>
              <w:br w:type="textWrapping"/>
            </w:r>
            <w:r>
              <w:rPr>
                <w:rFonts w:ascii="Arial" w:hAnsi="Arial" w:eastAsia="Times New Roman" w:cs="Arial"/>
                <w:b/>
                <w:bCs/>
                <w:sz w:val="20"/>
                <w:szCs w:val="20"/>
              </w:rPr>
              <w:br w:type="textWrapping"/>
            </w:r>
            <w:r>
              <w:rPr>
                <w:rFonts w:ascii="Arial" w:hAnsi="Arial" w:eastAsia="Times New Roman" w:cs="Arial"/>
                <w:b/>
                <w:bCs/>
                <w:sz w:val="20"/>
                <w:szCs w:val="20"/>
              </w:rPr>
              <w:br w:type="textWrapping"/>
            </w:r>
            <w:r>
              <w:rPr>
                <w:rFonts w:ascii="Arial" w:hAnsi="Arial" w:eastAsia="Times New Roman" w:cs="Arial"/>
                <w:b/>
                <w:bCs/>
                <w:sz w:val="20"/>
                <w:szCs w:val="20"/>
              </w:rPr>
              <w:br w:type="textWrapping"/>
            </w:r>
            <w:r>
              <w:rPr>
                <w:rFonts w:ascii="Arial" w:hAnsi="Arial" w:eastAsia="Times New Roman" w:cs="Arial"/>
                <w:b/>
                <w:bCs/>
                <w:sz w:val="20"/>
                <w:szCs w:val="20"/>
              </w:rPr>
              <w:br w:type="textWrapping"/>
            </w:r>
            <w:r>
              <w:rPr>
                <w:rFonts w:ascii="Arial" w:hAnsi="Arial" w:eastAsia="Times New Roman" w:cs="Arial"/>
                <w:b/>
                <w:bCs/>
                <w:sz w:val="20"/>
                <w:szCs w:val="20"/>
              </w:rPr>
              <w:t>Nguyễn Dương Thái</w:t>
            </w:r>
          </w:p>
        </w:tc>
      </w:tr>
    </w:tbl>
    <w:p>
      <w:pPr>
        <w:shd w:val="clear" w:color="auto" w:fill="FFFFFF"/>
        <w:spacing w:after="0" w:line="240" w:lineRule="auto"/>
        <w:rPr>
          <w:rFonts w:ascii="Arial" w:hAnsi="Arial" w:eastAsia="Times New Roman" w:cs="Arial"/>
          <w:sz w:val="20"/>
          <w:szCs w:val="20"/>
        </w:rPr>
      </w:pPr>
      <w:r>
        <w:rPr>
          <w:rFonts w:ascii="Arial" w:hAnsi="Arial" w:eastAsia="Times New Roman" w:cs="Arial"/>
          <w:sz w:val="20"/>
          <w:szCs w:val="20"/>
        </w:rPr>
        <w:t> </w:t>
      </w:r>
    </w:p>
    <w:p>
      <w:pPr>
        <w:shd w:val="clear" w:color="auto" w:fill="FFFFFF"/>
        <w:spacing w:after="0" w:line="240" w:lineRule="auto"/>
        <w:jc w:val="center"/>
        <w:rPr>
          <w:rFonts w:ascii="Arial" w:hAnsi="Arial" w:eastAsia="Times New Roman" w:cs="Arial"/>
          <w:b/>
          <w:bCs/>
          <w:sz w:val="20"/>
          <w:szCs w:val="20"/>
          <w:lang w:val="vi-VN"/>
        </w:rPr>
        <w:sectPr>
          <w:pgSz w:w="12240" w:h="15840"/>
          <w:pgMar w:top="1440" w:right="1440" w:bottom="1440" w:left="1440" w:header="720" w:footer="0" w:gutter="0"/>
          <w:cols w:space="720" w:num="1"/>
          <w:docGrid w:linePitch="360" w:charSpace="0"/>
        </w:sectPr>
      </w:pPr>
      <w:bookmarkStart w:id="8" w:name="loai_2"/>
    </w:p>
    <w:tbl>
      <w:tblPr>
        <w:tblStyle w:val="7"/>
        <w:tblW w:w="0" w:type="auto"/>
        <w:jc w:val="center"/>
        <w:tblCellSpacing w:w="0" w:type="dxa"/>
        <w:shd w:val="clear" w:color="auto" w:fill="FFFFFF"/>
        <w:tblLayout w:type="autofit"/>
        <w:tblCellMar>
          <w:top w:w="0" w:type="dxa"/>
          <w:left w:w="0" w:type="dxa"/>
          <w:bottom w:w="0" w:type="dxa"/>
          <w:right w:w="0" w:type="dxa"/>
        </w:tblCellMar>
      </w:tblPr>
      <w:tblGrid>
        <w:gridCol w:w="3348"/>
        <w:gridCol w:w="6030"/>
      </w:tblGrid>
      <w:tr>
        <w:tblPrEx>
          <w:shd w:val="clear" w:color="auto" w:fill="FFFFFF"/>
          <w:tblCellMar>
            <w:top w:w="0" w:type="dxa"/>
            <w:left w:w="0" w:type="dxa"/>
            <w:bottom w:w="0" w:type="dxa"/>
            <w:right w:w="0" w:type="dxa"/>
          </w:tblCellMar>
        </w:tblPrEx>
        <w:trPr>
          <w:wBefore w:w="0" w:type="dxa"/>
          <w:wAfter w:w="0" w:type="dxa"/>
          <w:trHeight w:val="360" w:hRule="atLeast"/>
          <w:tblCellSpacing w:w="0" w:type="dxa"/>
          <w:jc w:val="center"/>
        </w:trPr>
        <w:tc>
          <w:tcPr>
            <w:tcW w:w="3348" w:type="dxa"/>
            <w:tcBorders>
              <w:bottom w:val="nil"/>
            </w:tcBorders>
            <w:shd w:val="clear" w:color="auto" w:fill="FFFFFF"/>
            <w:noWrap w:val="0"/>
            <w:tcMar>
              <w:top w:w="0" w:type="dxa"/>
              <w:left w:w="108" w:type="dxa"/>
              <w:bottom w:w="0" w:type="dxa"/>
              <w:right w:w="108" w:type="dxa"/>
            </w:tcMar>
            <w:vAlign w:val="top"/>
          </w:tcPr>
          <w:p>
            <w:pPr>
              <w:spacing w:after="0" w:line="240" w:lineRule="auto"/>
              <w:jc w:val="center"/>
              <w:rPr>
                <w:rFonts w:ascii="Arial" w:hAnsi="Arial" w:eastAsia="Times New Roman" w:cs="Arial"/>
                <w:sz w:val="20"/>
                <w:szCs w:val="20"/>
                <w:lang w:val="vi-VN"/>
              </w:rPr>
            </w:pPr>
            <w:r>
              <w:rPr>
                <w:rFonts w:ascii="Arial" w:hAnsi="Arial" w:eastAsia="Times New Roman" w:cs="Arial"/>
                <w:b/>
                <w:bCs/>
                <w:sz w:val="20"/>
                <w:szCs w:val="20"/>
                <w:lang w:val="vi-VN"/>
              </w:rPr>
              <w:t>ỦY BAN NHÂN DÂN</w:t>
            </w:r>
            <w:r>
              <w:rPr>
                <w:rFonts w:ascii="Arial" w:hAnsi="Arial" w:eastAsia="Times New Roman" w:cs="Arial"/>
                <w:b/>
                <w:bCs/>
                <w:sz w:val="20"/>
                <w:szCs w:val="20"/>
                <w:lang w:val="vi-VN"/>
              </w:rPr>
              <w:br w:type="textWrapping"/>
            </w:r>
            <w:r>
              <w:rPr>
                <w:rFonts w:ascii="Arial" w:hAnsi="Arial" w:eastAsia="Times New Roman" w:cs="Arial"/>
                <w:b/>
                <w:bCs/>
                <w:sz w:val="20"/>
                <w:szCs w:val="20"/>
                <w:lang w:val="vi-VN"/>
              </w:rPr>
              <w:t>TỈNH HẢI DƯƠNG</w:t>
            </w:r>
            <w:r>
              <w:rPr>
                <w:rFonts w:ascii="Arial" w:hAnsi="Arial" w:eastAsia="Times New Roman" w:cs="Arial"/>
                <w:b/>
                <w:bCs/>
                <w:sz w:val="20"/>
                <w:szCs w:val="20"/>
                <w:lang w:val="vi-VN"/>
              </w:rPr>
              <w:br w:type="textWrapping"/>
            </w:r>
            <w:r>
              <w:rPr>
                <w:rFonts w:ascii="Arial" w:hAnsi="Arial" w:eastAsia="Times New Roman" w:cs="Arial"/>
                <w:bCs/>
                <w:sz w:val="20"/>
                <w:szCs w:val="20"/>
                <w:lang w:val="vi-VN"/>
              </w:rPr>
              <w:t>-------</w:t>
            </w:r>
          </w:p>
        </w:tc>
        <w:tc>
          <w:tcPr>
            <w:tcW w:w="6030" w:type="dxa"/>
            <w:tcBorders>
              <w:bottom w:val="nil"/>
            </w:tcBorders>
            <w:shd w:val="clear" w:color="auto" w:fill="FFFFFF"/>
            <w:noWrap w:val="0"/>
            <w:tcMar>
              <w:top w:w="0" w:type="dxa"/>
              <w:left w:w="108" w:type="dxa"/>
              <w:bottom w:w="0" w:type="dxa"/>
              <w:right w:w="108" w:type="dxa"/>
            </w:tcMar>
            <w:vAlign w:val="top"/>
          </w:tcPr>
          <w:p>
            <w:pPr>
              <w:spacing w:after="0" w:line="240" w:lineRule="auto"/>
              <w:jc w:val="center"/>
              <w:rPr>
                <w:rFonts w:ascii="Arial" w:hAnsi="Arial" w:eastAsia="Times New Roman" w:cs="Arial"/>
                <w:sz w:val="20"/>
                <w:szCs w:val="20"/>
                <w:lang w:val="vi-VN"/>
              </w:rPr>
            </w:pPr>
            <w:r>
              <w:rPr>
                <w:rFonts w:ascii="Arial" w:hAnsi="Arial" w:eastAsia="Times New Roman" w:cs="Arial"/>
                <w:b/>
                <w:bCs/>
                <w:sz w:val="20"/>
                <w:szCs w:val="20"/>
                <w:lang w:val="vi-VN"/>
              </w:rPr>
              <w:t>CỘNG HÒA XÃ HỘI CHỦ NGHĨA VIỆT NAM</w:t>
            </w:r>
            <w:r>
              <w:rPr>
                <w:rFonts w:ascii="Arial" w:hAnsi="Arial" w:eastAsia="Times New Roman" w:cs="Arial"/>
                <w:b/>
                <w:bCs/>
                <w:sz w:val="20"/>
                <w:szCs w:val="20"/>
                <w:lang w:val="vi-VN"/>
              </w:rPr>
              <w:br w:type="textWrapping"/>
            </w:r>
            <w:r>
              <w:rPr>
                <w:rFonts w:ascii="Arial" w:hAnsi="Arial" w:eastAsia="Times New Roman" w:cs="Arial"/>
                <w:b/>
                <w:bCs/>
                <w:sz w:val="20"/>
                <w:szCs w:val="20"/>
                <w:lang w:val="vi-VN"/>
              </w:rPr>
              <w:t>Độc lập - Tự do - Hạnh phúc</w:t>
            </w:r>
            <w:r>
              <w:rPr>
                <w:rFonts w:ascii="Arial" w:hAnsi="Arial" w:eastAsia="Times New Roman" w:cs="Arial"/>
                <w:b/>
                <w:bCs/>
                <w:sz w:val="20"/>
                <w:szCs w:val="20"/>
                <w:lang w:val="vi-VN"/>
              </w:rPr>
              <w:br w:type="textWrapping"/>
            </w:r>
            <w:r>
              <w:rPr>
                <w:rFonts w:ascii="Arial" w:hAnsi="Arial" w:eastAsia="Times New Roman" w:cs="Arial"/>
                <w:bCs/>
                <w:sz w:val="20"/>
                <w:szCs w:val="20"/>
                <w:lang w:val="vi-VN"/>
              </w:rPr>
              <w:t>---------------</w:t>
            </w:r>
          </w:p>
        </w:tc>
      </w:tr>
    </w:tbl>
    <w:p>
      <w:pPr>
        <w:shd w:val="clear" w:color="auto" w:fill="FFFFFF"/>
        <w:spacing w:after="0" w:line="240" w:lineRule="auto"/>
        <w:jc w:val="center"/>
        <w:rPr>
          <w:rFonts w:ascii="Arial" w:hAnsi="Arial" w:eastAsia="Times New Roman" w:cs="Arial"/>
          <w:b/>
          <w:bCs/>
          <w:sz w:val="20"/>
          <w:szCs w:val="20"/>
          <w:lang w:val="vi-VN"/>
        </w:rPr>
      </w:pPr>
    </w:p>
    <w:p>
      <w:pPr>
        <w:shd w:val="clear" w:color="auto" w:fill="FFFFFF"/>
        <w:spacing w:after="0" w:line="240" w:lineRule="auto"/>
        <w:jc w:val="center"/>
        <w:rPr>
          <w:rFonts w:ascii="Arial" w:hAnsi="Arial" w:eastAsia="Times New Roman" w:cs="Arial"/>
          <w:b/>
          <w:bCs/>
          <w:sz w:val="20"/>
          <w:szCs w:val="20"/>
          <w:lang w:val="vi-VN"/>
        </w:rPr>
      </w:pPr>
    </w:p>
    <w:p>
      <w:pPr>
        <w:shd w:val="clear" w:color="auto" w:fill="FFFFFF"/>
        <w:spacing w:after="0" w:line="240" w:lineRule="auto"/>
        <w:jc w:val="center"/>
        <w:rPr>
          <w:rFonts w:ascii="Arial" w:hAnsi="Arial" w:eastAsia="Times New Roman" w:cs="Arial"/>
          <w:sz w:val="20"/>
          <w:szCs w:val="20"/>
          <w:lang w:val="vi-VN"/>
        </w:rPr>
      </w:pPr>
      <w:r>
        <w:rPr>
          <w:rFonts w:ascii="Arial" w:hAnsi="Arial" w:eastAsia="Times New Roman" w:cs="Arial"/>
          <w:b/>
          <w:bCs/>
          <w:sz w:val="20"/>
          <w:szCs w:val="20"/>
          <w:lang w:val="vi-VN"/>
        </w:rPr>
        <w:t>QUY ĐỊNH</w:t>
      </w:r>
      <w:bookmarkEnd w:id="8"/>
    </w:p>
    <w:p>
      <w:pPr>
        <w:shd w:val="clear" w:color="auto" w:fill="FFFFFF"/>
        <w:spacing w:after="0" w:line="240" w:lineRule="auto"/>
        <w:jc w:val="center"/>
        <w:rPr>
          <w:rFonts w:ascii="Arial" w:hAnsi="Arial" w:eastAsia="Times New Roman" w:cs="Arial"/>
          <w:i/>
          <w:iCs/>
          <w:sz w:val="20"/>
          <w:szCs w:val="20"/>
          <w:lang w:val="vi-VN"/>
        </w:rPr>
      </w:pPr>
      <w:bookmarkStart w:id="9" w:name="loai_2_name"/>
      <w:r>
        <w:rPr>
          <w:rFonts w:ascii="Arial" w:hAnsi="Arial" w:eastAsia="Times New Roman" w:cs="Arial"/>
          <w:b/>
          <w:sz w:val="20"/>
          <w:szCs w:val="20"/>
          <w:lang w:val="vi-VN"/>
        </w:rPr>
        <w:t>Bảng giá đất giai đoạn 2020 - 2024 trên địa bàn tỉnh Hải Dương</w:t>
      </w:r>
      <w:bookmarkEnd w:id="9"/>
      <w:r>
        <w:rPr>
          <w:rFonts w:ascii="Arial" w:hAnsi="Arial" w:eastAsia="Times New Roman" w:cs="Arial"/>
          <w:sz w:val="20"/>
          <w:szCs w:val="20"/>
          <w:lang w:val="vi-VN"/>
        </w:rPr>
        <w:br w:type="textWrapping"/>
      </w:r>
      <w:r>
        <w:rPr>
          <w:rFonts w:ascii="Arial" w:hAnsi="Arial" w:eastAsia="Times New Roman" w:cs="Arial"/>
          <w:i/>
          <w:iCs/>
          <w:sz w:val="20"/>
          <w:szCs w:val="20"/>
          <w:lang w:val="vi-VN"/>
        </w:rPr>
        <w:t>(Ban hành kèm theo Quyết định số 55/2019/QĐ-UBND ngày 20 tháng 12 năm 2019 của Ủy ban nhân dân tỉnh Hải Dương)</w:t>
      </w:r>
    </w:p>
    <w:p>
      <w:pPr>
        <w:shd w:val="clear" w:color="auto" w:fill="FFFFFF"/>
        <w:spacing w:after="0" w:line="240" w:lineRule="auto"/>
        <w:jc w:val="center"/>
        <w:rPr>
          <w:rFonts w:ascii="Arial" w:hAnsi="Arial" w:eastAsia="Times New Roman" w:cs="Arial"/>
          <w:sz w:val="20"/>
          <w:szCs w:val="20"/>
          <w:lang w:val="vi-VN"/>
        </w:rPr>
      </w:pPr>
    </w:p>
    <w:p>
      <w:pPr>
        <w:shd w:val="clear" w:color="auto" w:fill="FFFFFF"/>
        <w:spacing w:after="120" w:line="240" w:lineRule="auto"/>
        <w:ind w:firstLine="720"/>
        <w:jc w:val="both"/>
        <w:rPr>
          <w:rFonts w:ascii="Arial" w:hAnsi="Arial" w:eastAsia="Times New Roman" w:cs="Arial"/>
          <w:sz w:val="20"/>
          <w:szCs w:val="20"/>
        </w:rPr>
      </w:pPr>
      <w:bookmarkStart w:id="10" w:name="dieu_1_2"/>
      <w:r>
        <w:rPr>
          <w:rFonts w:ascii="Arial" w:hAnsi="Arial" w:eastAsia="Times New Roman" w:cs="Arial"/>
          <w:b/>
          <w:bCs/>
          <w:sz w:val="20"/>
          <w:szCs w:val="20"/>
          <w:lang w:val="vi-VN"/>
        </w:rPr>
        <w:t>Điều 1. Phạm vi điều chỉnh</w:t>
      </w:r>
      <w:bookmarkEnd w:id="10"/>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1. Bả</w:t>
      </w:r>
      <w:r>
        <w:rPr>
          <w:rFonts w:ascii="Arial" w:hAnsi="Arial" w:eastAsia="Times New Roman" w:cs="Arial"/>
          <w:sz w:val="20"/>
          <w:szCs w:val="20"/>
        </w:rPr>
        <w:t>n</w:t>
      </w:r>
      <w:r>
        <w:rPr>
          <w:rFonts w:ascii="Arial" w:hAnsi="Arial" w:eastAsia="Times New Roman" w:cs="Arial"/>
          <w:sz w:val="20"/>
          <w:szCs w:val="20"/>
          <w:lang w:val="vi-VN"/>
        </w:rPr>
        <w:t>g giá đ</w:t>
      </w:r>
      <w:r>
        <w:rPr>
          <w:rFonts w:ascii="Arial" w:hAnsi="Arial" w:eastAsia="Times New Roman" w:cs="Arial"/>
          <w:sz w:val="20"/>
          <w:szCs w:val="20"/>
        </w:rPr>
        <w:t>ấ</w:t>
      </w:r>
      <w:r>
        <w:rPr>
          <w:rFonts w:ascii="Arial" w:hAnsi="Arial" w:eastAsia="Times New Roman" w:cs="Arial"/>
          <w:sz w:val="20"/>
          <w:szCs w:val="20"/>
          <w:lang w:val="vi-VN"/>
        </w:rPr>
        <w:t>t này quy định cụ th</w:t>
      </w:r>
      <w:r>
        <w:rPr>
          <w:rFonts w:ascii="Arial" w:hAnsi="Arial" w:eastAsia="Times New Roman" w:cs="Arial"/>
          <w:sz w:val="20"/>
          <w:szCs w:val="20"/>
        </w:rPr>
        <w:t>ể</w:t>
      </w:r>
      <w:r>
        <w:rPr>
          <w:rFonts w:ascii="Arial" w:hAnsi="Arial" w:eastAsia="Times New Roman" w:cs="Arial"/>
          <w:sz w:val="20"/>
          <w:szCs w:val="20"/>
          <w:lang w:val="vi-VN"/>
        </w:rPr>
        <w:t> đ</w:t>
      </w:r>
      <w:r>
        <w:rPr>
          <w:rFonts w:ascii="Arial" w:hAnsi="Arial" w:eastAsia="Times New Roman" w:cs="Arial"/>
          <w:sz w:val="20"/>
          <w:szCs w:val="20"/>
        </w:rPr>
        <w:t>ố</w:t>
      </w:r>
      <w:r>
        <w:rPr>
          <w:rFonts w:ascii="Arial" w:hAnsi="Arial" w:eastAsia="Times New Roman" w:cs="Arial"/>
          <w:sz w:val="20"/>
          <w:szCs w:val="20"/>
          <w:lang w:val="vi-VN"/>
        </w:rPr>
        <w:t>i với giá từng loại đ</w:t>
      </w:r>
      <w:r>
        <w:rPr>
          <w:rFonts w:ascii="Arial" w:hAnsi="Arial" w:eastAsia="Times New Roman" w:cs="Arial"/>
          <w:sz w:val="20"/>
          <w:szCs w:val="20"/>
        </w:rPr>
        <w:t>ấ</w:t>
      </w:r>
      <w:r>
        <w:rPr>
          <w:rFonts w:ascii="Arial" w:hAnsi="Arial" w:eastAsia="Times New Roman" w:cs="Arial"/>
          <w:sz w:val="20"/>
          <w:szCs w:val="20"/>
          <w:lang w:val="vi-VN"/>
        </w:rPr>
        <w:t>t giai đoạn 2020 - 2024 trên địa bàn tỉnh Hải Dương.</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2. Bảng giá đất được sử dụng để làm căn cứ áp dụng trong các trường hợp quy định tại Khoản 2, Điều 114 Luật Đất đai năm 2013.</w:t>
      </w:r>
    </w:p>
    <w:p>
      <w:pPr>
        <w:shd w:val="clear" w:color="auto" w:fill="FFFFFF"/>
        <w:spacing w:after="120" w:line="240" w:lineRule="auto"/>
        <w:ind w:firstLine="720"/>
        <w:jc w:val="both"/>
        <w:rPr>
          <w:rFonts w:ascii="Arial" w:hAnsi="Arial" w:eastAsia="Times New Roman" w:cs="Arial"/>
          <w:sz w:val="20"/>
          <w:szCs w:val="20"/>
        </w:rPr>
      </w:pPr>
      <w:bookmarkStart w:id="11" w:name="dieu_2_2"/>
      <w:r>
        <w:rPr>
          <w:rFonts w:ascii="Arial" w:hAnsi="Arial" w:eastAsia="Times New Roman" w:cs="Arial"/>
          <w:b/>
          <w:bCs/>
          <w:sz w:val="20"/>
          <w:szCs w:val="20"/>
          <w:lang w:val="vi-VN"/>
        </w:rPr>
        <w:t>Điều 2. Đối tượng áp dụng</w:t>
      </w:r>
      <w:bookmarkEnd w:id="11"/>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1. Cơ quan thực hiện chức năng quản lý nhà nước về đất đai.</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2. Người sử dụng đất.</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3. C</w:t>
      </w:r>
      <w:r>
        <w:rPr>
          <w:rFonts w:ascii="Arial" w:hAnsi="Arial" w:eastAsia="Times New Roman" w:cs="Arial"/>
          <w:sz w:val="20"/>
          <w:szCs w:val="20"/>
        </w:rPr>
        <w:t>á</w:t>
      </w:r>
      <w:r>
        <w:rPr>
          <w:rFonts w:ascii="Arial" w:hAnsi="Arial" w:eastAsia="Times New Roman" w:cs="Arial"/>
          <w:sz w:val="20"/>
          <w:szCs w:val="20"/>
          <w:lang w:val="vi-VN"/>
        </w:rPr>
        <w:t>c tổ chức và cá nhân khác có liên quan đến việc quản lý, sử dụng đất.</w:t>
      </w:r>
    </w:p>
    <w:p>
      <w:pPr>
        <w:shd w:val="clear" w:color="auto" w:fill="FFFFFF"/>
        <w:spacing w:after="120" w:line="240" w:lineRule="auto"/>
        <w:ind w:firstLine="720"/>
        <w:jc w:val="both"/>
        <w:rPr>
          <w:rFonts w:ascii="Arial" w:hAnsi="Arial" w:eastAsia="Times New Roman" w:cs="Arial"/>
          <w:sz w:val="20"/>
          <w:szCs w:val="20"/>
        </w:rPr>
      </w:pPr>
      <w:bookmarkStart w:id="12" w:name="dieu_3_2"/>
      <w:r>
        <w:rPr>
          <w:rFonts w:ascii="Arial" w:hAnsi="Arial" w:eastAsia="Times New Roman" w:cs="Arial"/>
          <w:b/>
          <w:bCs/>
          <w:sz w:val="20"/>
          <w:szCs w:val="20"/>
          <w:lang w:val="vi-VN"/>
        </w:rPr>
        <w:t>Điều 3. Bảng giá đất đối với từng loại đất cụ thể</w:t>
      </w:r>
      <w:bookmarkEnd w:id="12"/>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1. Bảng giá đất </w:t>
      </w:r>
      <w:r>
        <w:rPr>
          <w:rFonts w:ascii="Arial" w:hAnsi="Arial" w:eastAsia="Times New Roman" w:cs="Arial"/>
          <w:sz w:val="20"/>
          <w:szCs w:val="20"/>
        </w:rPr>
        <w:t>tr</w:t>
      </w:r>
      <w:r>
        <w:rPr>
          <w:rFonts w:ascii="Arial" w:hAnsi="Arial" w:eastAsia="Times New Roman" w:cs="Arial"/>
          <w:sz w:val="20"/>
          <w:szCs w:val="20"/>
          <w:lang w:val="vi-VN"/>
        </w:rPr>
        <w:t>ồng cây hàng năm gồm đất trồng lúa và cây hàng năm khác, đất nuôi trồng thủy sản, đất rừng sản xuất, đất rừng phòng hộ và rừng đặc dụng - Phụ lục I.</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2. Bảng giá đất ở tại nông thôn - Phụ lục II.</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3. Bảng giá đất ở tại đô thị; đất thương mại dịch vụ tại đô thị; đất sản xuất kinh doanh phi nông nghiệp không phải là đất thương mại, dịch vụ tại đô thị (ngoài khu công nghiệp, cụm công nghiệp, làng nghề) - Phụ lục III.</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4. Bảng giá đất thương mại, dịch vụ tại nông thôn (ngoài khu công nghiệp, cụm công nghiệp, làng nghề) - Phụ lục </w:t>
      </w:r>
      <w:r>
        <w:rPr>
          <w:rFonts w:ascii="Arial" w:hAnsi="Arial" w:eastAsia="Times New Roman" w:cs="Arial"/>
          <w:sz w:val="20"/>
          <w:szCs w:val="20"/>
        </w:rPr>
        <w:t>IV</w:t>
      </w:r>
      <w:r>
        <w:rPr>
          <w:rFonts w:ascii="Arial" w:hAnsi="Arial" w:eastAsia="Times New Roman" w:cs="Arial"/>
          <w:sz w:val="20"/>
          <w:szCs w:val="20"/>
          <w:lang w:val="vi-VN"/>
        </w:rPr>
        <w:t>.</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5. B</w:t>
      </w:r>
      <w:r>
        <w:rPr>
          <w:rFonts w:ascii="Arial" w:hAnsi="Arial" w:eastAsia="Times New Roman" w:cs="Arial"/>
          <w:sz w:val="20"/>
          <w:szCs w:val="20"/>
        </w:rPr>
        <w:t>ả</w:t>
      </w:r>
      <w:r>
        <w:rPr>
          <w:rFonts w:ascii="Arial" w:hAnsi="Arial" w:eastAsia="Times New Roman" w:cs="Arial"/>
          <w:sz w:val="20"/>
          <w:szCs w:val="20"/>
          <w:lang w:val="vi-VN"/>
        </w:rPr>
        <w:t>ng giá đất sản xuất, kinh doanh phi nông nghiệp không phải là đất thương mại, dịch vụ tại nông thôn (ngoài khu công nghiệp, cụm công nghiệp, làng nghề) - Phụ lục V.</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6. Bảng giá đất thương mại, dịch vụ trong khu công nghiệp, cụm công nghiệp, làng nghề - Phụ lục VI.</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7. Bảng giá đất sản xuất, kinh doanh phi nông nghiệp không phải là đất thương mại, dịch vụ trong khu công nghiệp, cụm công nghiệp, làng nghề - Phụ lục VII.</w:t>
      </w:r>
    </w:p>
    <w:p>
      <w:pPr>
        <w:shd w:val="clear" w:color="auto" w:fill="FFFFFF"/>
        <w:spacing w:after="120" w:line="240" w:lineRule="auto"/>
        <w:ind w:firstLine="720"/>
        <w:jc w:val="both"/>
        <w:rPr>
          <w:rFonts w:ascii="Arial" w:hAnsi="Arial" w:eastAsia="Times New Roman" w:cs="Arial"/>
          <w:sz w:val="20"/>
          <w:szCs w:val="20"/>
        </w:rPr>
      </w:pPr>
      <w:bookmarkStart w:id="13" w:name="dieu_4"/>
      <w:r>
        <w:rPr>
          <w:rFonts w:ascii="Arial" w:hAnsi="Arial" w:eastAsia="Times New Roman" w:cs="Arial"/>
          <w:b/>
          <w:bCs/>
          <w:sz w:val="20"/>
          <w:szCs w:val="20"/>
          <w:lang w:val="vi-VN"/>
        </w:rPr>
        <w:t>Điều 4. Bảng giá đất đối với các loại đất khác</w:t>
      </w:r>
      <w:bookmarkEnd w:id="13"/>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1. Đối với đất công cộng, đất nhà tang lễ, đất nhà hỏa táng: Khi sử dụng vào mục đích kinh doanh thì giá đất được xác định theo giá đất thương mại, dịch vụ được quy định tại Phụ lục III, IV, VI.</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Đối với đất phi nông nghiệp do cơ sở tôn giáo, tín ngưỡng sử dụng; đất làm nghĩa trang, nghĩa địa; đất phi nông nghiệp khác thì giá đất được xác định theo giá đ</w:t>
      </w:r>
      <w:r>
        <w:rPr>
          <w:rFonts w:ascii="Arial" w:hAnsi="Arial" w:eastAsia="Times New Roman" w:cs="Arial"/>
          <w:sz w:val="20"/>
          <w:szCs w:val="20"/>
        </w:rPr>
        <w:t>ấ</w:t>
      </w:r>
      <w:r>
        <w:rPr>
          <w:rFonts w:ascii="Arial" w:hAnsi="Arial" w:eastAsia="Times New Roman" w:cs="Arial"/>
          <w:sz w:val="20"/>
          <w:szCs w:val="20"/>
          <w:lang w:val="vi-VN"/>
        </w:rPr>
        <w:t>t sản xu</w:t>
      </w:r>
      <w:r>
        <w:rPr>
          <w:rFonts w:ascii="Arial" w:hAnsi="Arial" w:eastAsia="Times New Roman" w:cs="Arial"/>
          <w:sz w:val="20"/>
          <w:szCs w:val="20"/>
        </w:rPr>
        <w:t>ấ</w:t>
      </w:r>
      <w:r>
        <w:rPr>
          <w:rFonts w:ascii="Arial" w:hAnsi="Arial" w:eastAsia="Times New Roman" w:cs="Arial"/>
          <w:sz w:val="20"/>
          <w:szCs w:val="20"/>
          <w:lang w:val="vi-VN"/>
        </w:rPr>
        <w:t>t, kinh doanh phi nông nghiệp không phải là đất thương mại, dịch vụ được quy định tại Phụ lục III, V, VII.</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2. Đất xây dựng trụ sở cơ quan, đất xây dựng công trình sự nghiệp, đất sử dụng vào mục đích qu</w:t>
      </w:r>
      <w:r>
        <w:rPr>
          <w:rFonts w:ascii="Arial" w:hAnsi="Arial" w:eastAsia="Times New Roman" w:cs="Arial"/>
          <w:sz w:val="20"/>
          <w:szCs w:val="20"/>
        </w:rPr>
        <w:t>ố</w:t>
      </w:r>
      <w:r>
        <w:rPr>
          <w:rFonts w:ascii="Arial" w:hAnsi="Arial" w:eastAsia="Times New Roman" w:cs="Arial"/>
          <w:sz w:val="20"/>
          <w:szCs w:val="20"/>
          <w:lang w:val="vi-VN"/>
        </w:rPr>
        <w:t>c phòng, an ninh thì giá đ</w:t>
      </w:r>
      <w:r>
        <w:rPr>
          <w:rFonts w:ascii="Arial" w:hAnsi="Arial" w:eastAsia="Times New Roman" w:cs="Arial"/>
          <w:sz w:val="20"/>
          <w:szCs w:val="20"/>
        </w:rPr>
        <w:t>ấ</w:t>
      </w:r>
      <w:r>
        <w:rPr>
          <w:rFonts w:ascii="Arial" w:hAnsi="Arial" w:eastAsia="Times New Roman" w:cs="Arial"/>
          <w:sz w:val="20"/>
          <w:szCs w:val="20"/>
          <w:lang w:val="vi-VN"/>
        </w:rPr>
        <w:t>t được xác định theo giá đất </w:t>
      </w:r>
      <w:r>
        <w:rPr>
          <w:rFonts w:ascii="Arial" w:hAnsi="Arial" w:eastAsia="Times New Roman" w:cs="Arial"/>
          <w:sz w:val="20"/>
          <w:szCs w:val="20"/>
        </w:rPr>
        <w:t>ở </w:t>
      </w:r>
      <w:r>
        <w:rPr>
          <w:rFonts w:ascii="Arial" w:hAnsi="Arial" w:eastAsia="Times New Roman" w:cs="Arial"/>
          <w:sz w:val="20"/>
          <w:szCs w:val="20"/>
          <w:lang w:val="vi-VN"/>
        </w:rPr>
        <w:t>quy định tại Phụ lục II, Phụ lục III.</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3. Đất sông, ngòi, kênh, rạch, s</w:t>
      </w:r>
      <w:r>
        <w:rPr>
          <w:rFonts w:ascii="Arial" w:hAnsi="Arial" w:eastAsia="Times New Roman" w:cs="Arial"/>
          <w:sz w:val="20"/>
          <w:szCs w:val="20"/>
        </w:rPr>
        <w:t>u</w:t>
      </w:r>
      <w:r>
        <w:rPr>
          <w:rFonts w:ascii="Arial" w:hAnsi="Arial" w:eastAsia="Times New Roman" w:cs="Arial"/>
          <w:sz w:val="20"/>
          <w:szCs w:val="20"/>
          <w:lang w:val="vi-VN"/>
        </w:rPr>
        <w:t>ối và mặt nước chuyên dùng sử dụng vào mục đích nuôi trồng thủy sản thì áp dụng bảng giá đất nuôi trồng thủy sản; sử dụng vào mục đích phi nông nghiệp hoặc sử dụng vào mục đích phi nông nghiệp k</w:t>
      </w:r>
      <w:r>
        <w:rPr>
          <w:rFonts w:ascii="Arial" w:hAnsi="Arial" w:eastAsia="Times New Roman" w:cs="Arial"/>
          <w:sz w:val="20"/>
          <w:szCs w:val="20"/>
        </w:rPr>
        <w:t>ế</w:t>
      </w:r>
      <w:r>
        <w:rPr>
          <w:rFonts w:ascii="Arial" w:hAnsi="Arial" w:eastAsia="Times New Roman" w:cs="Arial"/>
          <w:sz w:val="20"/>
          <w:szCs w:val="20"/>
          <w:lang w:val="vi-VN"/>
        </w:rPr>
        <w:t>t hợp với nuôi trồng thủy sản thì căn cứ vào giá đất phi nông nghiệp tại khu vực lân cận để xác định.</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4. Đất chưa sử dụng, khi cơ quan nhà nước có thẩm quyền giao đất, cho thuê đ</w:t>
      </w:r>
      <w:r>
        <w:rPr>
          <w:rFonts w:ascii="Arial" w:hAnsi="Arial" w:eastAsia="Times New Roman" w:cs="Arial"/>
          <w:sz w:val="20"/>
          <w:szCs w:val="20"/>
        </w:rPr>
        <w:t>ấ</w:t>
      </w:r>
      <w:r>
        <w:rPr>
          <w:rFonts w:ascii="Arial" w:hAnsi="Arial" w:eastAsia="Times New Roman" w:cs="Arial"/>
          <w:sz w:val="20"/>
          <w:szCs w:val="20"/>
          <w:lang w:val="vi-VN"/>
        </w:rPr>
        <w:t>t đ</w:t>
      </w:r>
      <w:r>
        <w:rPr>
          <w:rFonts w:ascii="Arial" w:hAnsi="Arial" w:eastAsia="Times New Roman" w:cs="Arial"/>
          <w:sz w:val="20"/>
          <w:szCs w:val="20"/>
        </w:rPr>
        <w:t>ể </w:t>
      </w:r>
      <w:r>
        <w:rPr>
          <w:rFonts w:ascii="Arial" w:hAnsi="Arial" w:eastAsia="Times New Roman" w:cs="Arial"/>
          <w:sz w:val="20"/>
          <w:szCs w:val="20"/>
          <w:lang w:val="vi-VN"/>
        </w:rPr>
        <w:t>đưa vào sử dụng thì căn cứ phương pháp định giá đất và giá của loại đất cùng mục đích sử dụng đã được giao đất, cho thuê đất tại khu vực lân cận để xác định mức giá đất cụ thể.</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5. Đất phi nông nghiệp khác gồm: Đất làm nhà nghỉ, lán, trại cho người lao động trong cơ sở sản xuất; đất xây dựng kho và nhà để chứa nông sản, thuốc bảo vệ thực vật, phân bón, máy móc, công cụ phục vụ cho sản xuất nông nghiệp và đất xây dựng công trình khác của người sử dụng đất không nh</w:t>
      </w:r>
      <w:r>
        <w:rPr>
          <w:rFonts w:ascii="Arial" w:hAnsi="Arial" w:eastAsia="Times New Roman" w:cs="Arial"/>
          <w:sz w:val="20"/>
          <w:szCs w:val="20"/>
        </w:rPr>
        <w:t>ằ</w:t>
      </w:r>
      <w:r>
        <w:rPr>
          <w:rFonts w:ascii="Arial" w:hAnsi="Arial" w:eastAsia="Times New Roman" w:cs="Arial"/>
          <w:sz w:val="20"/>
          <w:szCs w:val="20"/>
          <w:lang w:val="vi-VN"/>
        </w:rPr>
        <w:t>m mục đích kinh doanh mà công trình đó không gắn liền với đất ở th</w:t>
      </w:r>
      <w:r>
        <w:rPr>
          <w:rFonts w:ascii="Arial" w:hAnsi="Arial" w:eastAsia="Times New Roman" w:cs="Arial"/>
          <w:sz w:val="20"/>
          <w:szCs w:val="20"/>
        </w:rPr>
        <w:t>ì </w:t>
      </w:r>
      <w:r>
        <w:rPr>
          <w:rFonts w:ascii="Arial" w:hAnsi="Arial" w:eastAsia="Times New Roman" w:cs="Arial"/>
          <w:sz w:val="20"/>
          <w:szCs w:val="20"/>
          <w:lang w:val="vi-VN"/>
        </w:rPr>
        <w:t>giá đất được xác định như đối với đất sản xuất kinh doanh phi nông nghiệp tại nông thôn, tại đô thị và tại vị trí quy hoạch các khu công nghiệp, c</w:t>
      </w:r>
      <w:r>
        <w:rPr>
          <w:rFonts w:ascii="Arial" w:hAnsi="Arial" w:eastAsia="Times New Roman" w:cs="Arial"/>
          <w:sz w:val="20"/>
          <w:szCs w:val="20"/>
        </w:rPr>
        <w:t>ụ</w:t>
      </w:r>
      <w:r>
        <w:rPr>
          <w:rFonts w:ascii="Arial" w:hAnsi="Arial" w:eastAsia="Times New Roman" w:cs="Arial"/>
          <w:sz w:val="20"/>
          <w:szCs w:val="20"/>
          <w:lang w:val="vi-VN"/>
        </w:rPr>
        <w:t>m công nghiệp, làng ngh</w:t>
      </w:r>
      <w:r>
        <w:rPr>
          <w:rFonts w:ascii="Arial" w:hAnsi="Arial" w:eastAsia="Times New Roman" w:cs="Arial"/>
          <w:sz w:val="20"/>
          <w:szCs w:val="20"/>
        </w:rPr>
        <w:t>ề</w:t>
      </w:r>
      <w:r>
        <w:rPr>
          <w:rFonts w:ascii="Arial" w:hAnsi="Arial" w:eastAsia="Times New Roman" w:cs="Arial"/>
          <w:sz w:val="20"/>
          <w:szCs w:val="20"/>
          <w:lang w:val="vi-VN"/>
        </w:rPr>
        <w:t>.</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6. Đất phi nông nghiệp tại th</w:t>
      </w:r>
      <w:r>
        <w:rPr>
          <w:rFonts w:ascii="Arial" w:hAnsi="Arial" w:eastAsia="Times New Roman" w:cs="Arial"/>
          <w:sz w:val="20"/>
          <w:szCs w:val="20"/>
        </w:rPr>
        <w:t>ờ</w:t>
      </w:r>
      <w:r>
        <w:rPr>
          <w:rFonts w:ascii="Arial" w:hAnsi="Arial" w:eastAsia="Times New Roman" w:cs="Arial"/>
          <w:sz w:val="20"/>
          <w:szCs w:val="20"/>
          <w:lang w:val="vi-VN"/>
        </w:rPr>
        <w:t>i điểm xác định giá đất mà phải vượt lập, san gạt thì được giảm trừ chi phí vượt lập, san gạt để có mặt bằng tương đương với mặt b</w:t>
      </w:r>
      <w:r>
        <w:rPr>
          <w:rFonts w:ascii="Arial" w:hAnsi="Arial" w:eastAsia="Times New Roman" w:cs="Arial"/>
          <w:sz w:val="20"/>
          <w:szCs w:val="20"/>
        </w:rPr>
        <w:t>ằ</w:t>
      </w:r>
      <w:r>
        <w:rPr>
          <w:rFonts w:ascii="Arial" w:hAnsi="Arial" w:eastAsia="Times New Roman" w:cs="Arial"/>
          <w:sz w:val="20"/>
          <w:szCs w:val="20"/>
          <w:lang w:val="vi-VN"/>
        </w:rPr>
        <w:t>ng các thửa đ</w:t>
      </w:r>
      <w:r>
        <w:rPr>
          <w:rFonts w:ascii="Arial" w:hAnsi="Arial" w:eastAsia="Times New Roman" w:cs="Arial"/>
          <w:sz w:val="20"/>
          <w:szCs w:val="20"/>
        </w:rPr>
        <w:t>ấ</w:t>
      </w:r>
      <w:r>
        <w:rPr>
          <w:rFonts w:ascii="Arial" w:hAnsi="Arial" w:eastAsia="Times New Roman" w:cs="Arial"/>
          <w:sz w:val="20"/>
          <w:szCs w:val="20"/>
          <w:lang w:val="vi-VN"/>
        </w:rPr>
        <w:t>t cùng khu vực nhưng mức giá sau khi giảm trừ không th</w:t>
      </w:r>
      <w:r>
        <w:rPr>
          <w:rFonts w:ascii="Arial" w:hAnsi="Arial" w:eastAsia="Times New Roman" w:cs="Arial"/>
          <w:sz w:val="20"/>
          <w:szCs w:val="20"/>
        </w:rPr>
        <w:t>ấ</w:t>
      </w:r>
      <w:r>
        <w:rPr>
          <w:rFonts w:ascii="Arial" w:hAnsi="Arial" w:eastAsia="Times New Roman" w:cs="Arial"/>
          <w:sz w:val="20"/>
          <w:szCs w:val="20"/>
          <w:lang w:val="vi-VN"/>
        </w:rPr>
        <w:t>p hơn mức giá liền kề vị trí đó được quy định trong bảng giá. Trường hợp thửa đất năm ở vị trí cuối cùng thì mức giá sau khi giảm trừ chi phí san lấp không thấp hơn 70% mức giá của vị trí đó quy định trong bảng giá đất.</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7. Trường hợp các thửa đất nằm giáp đường gom đã xây dựng và sử dụng của đường giao thông chính mà đường gom chưa có giá đất được quy định trong bảng giá đất thì áp dụng bằng 80% giá đất của vị trí đường giao thông chính tương ứng đã quy định trong bảng giá đất.</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8. Đối với phần diện tích đất nằm trong hành lang bảo vệ an toàn dây điện trên không, bị hạn chế khả năng sử dụng theo quy định của pháp luật về điện lực thì được áp dụng giá đất bằng 80% giá đất của vị trí tương ứng trong bảng giá đất.</w:t>
      </w:r>
    </w:p>
    <w:p>
      <w:pPr>
        <w:shd w:val="clear" w:color="auto" w:fill="FFFFFF"/>
        <w:spacing w:after="120" w:line="240" w:lineRule="auto"/>
        <w:ind w:firstLine="720"/>
        <w:jc w:val="both"/>
        <w:rPr>
          <w:rFonts w:ascii="Arial" w:hAnsi="Arial" w:eastAsia="Times New Roman" w:cs="Arial"/>
          <w:sz w:val="20"/>
          <w:szCs w:val="20"/>
          <w:lang w:val="vi-VN"/>
        </w:rPr>
      </w:pPr>
      <w:bookmarkStart w:id="14" w:name="dieu_5"/>
      <w:r>
        <w:rPr>
          <w:rFonts w:ascii="Arial" w:hAnsi="Arial" w:eastAsia="Times New Roman" w:cs="Arial"/>
          <w:b/>
          <w:bCs/>
          <w:sz w:val="20"/>
          <w:szCs w:val="20"/>
          <w:lang w:val="vi-VN"/>
        </w:rPr>
        <w:t>Điều 5. Quy định về phân loại Nhóm, Khu vực, Vị trí đất</w:t>
      </w:r>
      <w:bookmarkEnd w:id="14"/>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1. Đối với đất ở nông thôn</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a) Đất ven đô thị, ven đường giao thông chính (quốc lộ, tỉnh lộ, huyện lộ), các đầu mối giao thông, khu thương mại, du lịch và các điểm dân cư:</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1: Đất có vị trí nằm giáp trục đường giao thông chính, khu thương mại, du lịch và điểm dân cư có điều kiện thuận lợi và có giá đất cao nhất;</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2: Đất có vị trí nằm giáp các đường, ngõ lối đi ra đường giao thông chính có mặt cắt ngõ (ký hiệu là Bn) Bn ≥ 3m và có chiều sâu ngõ tính từ chỉ giới xây dựng đến đầu thửa đất (ký hiệu là D) D &lt; 200m;</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3: Đất có vị trí nằm sát các đường, ngõ chính lối đi ra đường giao thông chính có mặt cắt ngõ Bn ≥ 3m và có chiều sâu ngõ tính từ chỉ giới xây dựng đến đầu thửa đất 200m ≤ D &lt; 400m; nằm sát các ngõ có mặt cắt ngõ 2m ≤ Bn &lt; 3m và có chiều sâu ngõ tính từ chỉ giới xây dựng đường giao thông chính đến đầu thửa đất D &lt; 200m;</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4: Đất có vị trí nằm giáp các ngõ chính lối đi ra đường giao thông chính có mặt cắt ngõ Bn ≥ 3m và có chiều sâu ngõ tính từ chỉ giới xây dựng đến đầu thửa đất 400m ≤ D &lt; 600m; nằm sát các ngõ có mặt cắt ngõ 2m ≤ Bn &lt; 3m và có chiều sâu ngõ hẻm tính từ chỉ giới xây dựng đường giao thông chính đến đầu thửa đất 200m ≤ D &lt; 400m;</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5: Đất có vị trí nằm giáp các ngõ chính lối đi ra đường giao thông chính có mặt cắt ngõ Bn ≥ 3m và có chiều sâu ngõ tính từ chỉ giới xây dựng đến đầu thửa đất 600m ≤ D &lt; 800m; nằm sát các ngõ có mặt cắt ngõ 2m ≤ Bn &lt; 3m và có chiều sâu ngõ hẻm tính từ chỉ giới xây dựng đường giao thông chính đến đầu thửa đất 400m ≤ D &lt; 600m;</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6: Đất có vị trí nằm giáp các ngõ chính lối đi ra đường giao thông chính có mặt cắt ngõ Bn ≥ 3m và có chiều sâu ngõ tính từ chỉ giới xây dựng đến đầu thửa đất 800m ≤ D &lt; 1.000m; nằm sát các ngõ có mặt cắt ngõ 2m ≤ Bn &lt; 3m và có chiều sâu ngõ hẻm tính từ chỉ giới xây dựng đường giao thông chính đến đầu thửa đất 600m ≤ D &lt; 800m; Đất ở vị trí tiếp theo của thửa đất có chiều sâu lớn hơn 100m;</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Đất có vị trí năm giáp các ngõ chính lối đi ra đường giao thông chính có mặt cắt ngõ Bn ≥ 3m và có chiều sâu ngõ tính từ chỉ giới xây dựng đến đầu thửa đất D ≥ 1.000m; nằm sát các ngõ có mặt cắt ngõ 2m ≤ Bn &lt; 3m và có chiều sâu ngõ hẻm tính từ chỉ giới xây dựng đường giao thông chính đến đầu thửa đất D ≥ 800m thì tính theo vị trí đất còn lại của khu vực nông thôn;</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Thửa đất có chiều sâu lớn (tính từ mép chỉ giới đất sử dụng hợp pháp) nằm giáp đường, ngõ do một tổ chức, hộ gia đình, cá nhân sử dụng thì tùy chiều sâu của từng thửa đất có thể phân thành các vị trí làm căn cứ xác định giá đất cho phù hợp, theo nguyên tắc: Chiều sâu của thửa đất cứ 20 mét được xác định là một vị trí để xác định giá đất và diện tích đất có chiều sâu 20 mét tiếp theo được xác định là vị trí liền kề kế tiếp với vị trí phía ngoài.</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b) Đối với đất ở tại các vị trí còn lại ở nông thôn:</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Nhóm đất:</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Nhóm 1: Gồm các xã nằm gần trục đường giao thông chính, đầu mối giao thông, gần trung tâm các đô thị, khu thương mại, du lịch, công nghiệp, cụm công nghiệp, điểm tiểu thủ công nghiệp, làng nghề, điểm kinh doanh thương mại, dịch vụ... có điều kiện thuận lợi cho sinh hoạt, sản xuất kinh doanh và có giá đất thực tế trung bình cao nhất;</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Nhóm 2: Gồm các xã còn lại, có giá đất thực tế trung bình thấp hơn nhóm 1.</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Khu vực đất:</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Khu vực 1: Gồm đất ở tại trung tâm xã (gần Ủy ban nhân dân xã, trường học, chợ, trạm y tế); nằm giáp đường đầu mối giao thông chính của xã; gần khu thương mại và dịch vụ, khu du lịch, khu công nghiệp, cụm công nghiệp, điểm tiểu thủ công nghiệp, làng nghề, điểm kinh doanh thương mại, dịch vụ;</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Khu vực 2: Đất ở ven các trục đường giao thông liên thôn, tiếp giáp với khu vực trung tâm xã, có điều kiện và giá đất thấp hơn Khu vực 1;</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Khu vực 3: Thuộc các vị trí còn lại.</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đất:</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1: Đất có vị trí nằm tại trung tâm xã, gần trường học, chợ, trạm y tế, nằm giáp đường giao thông chính hoặc các đầu mối giao thông của xã, có điều kiện thuận lợi và có giá đất cao nhất;</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2: Đất có vị trí nằm tiếp giáp với đường giao thông chính, đường liên xã có điều kiện thuận lợi và có giá đất thấp hơn vị trí 1;</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3: Đất có vị trí nằm tiếp giáp với đường liên thôn, có điều kiện thuận lợi và có giá đất thấp hơn vị trí 2;</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4: Đất có vị trí nằm tiếp giáp với các đường ngõ ra đường giao thông chính, đường huyện lộ, đường liên xã và đất có vị trí nằm ven các trục đường khác của xã, có điều kiện thuận lợi và giá đất thấp hơn vị trí 3;</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5: Đất các vị trí còn lại, có giá đất thấp nhất;</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Trường hợp vị trí đất vừa xác định được theo khu vực ven đô thị, ven đường giao thông chính (quốc lộ, tỉnh lộ, huyện lộ), các đầu mối giao thông, khu thương mại, du lịch và các điểm dân cư; vừa xác định được vị trí theo khu vực còn lại ở nông thôn thì tính giá đất theo cách xác định vị trí có giá đất cao hơn.</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2. Đối với đất ở đô thị</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a) Vị trí đất:</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1: Đất nằm sát cạnh các đường, phố (mặt tiền);</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2: Đất nằm sát cạnh các ngố của đường, phố có mặt cắt ngõ Bn ≥ 3m và có chiều sâu ngõ tính từ chỉ giới xây dựng sát mép vỉa hè đường chính đến đầu thửa đất &lt; 200m;</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3: Đất có vị trí nằm sát cạnh các ngõ hẻm (ngách) có mặt cắt ngõ 2m ≤ Bn &lt; 3m và có chiều sâu ngõ hẻm tính từ đầu ngõ hẻm đến đầu thửa đất &lt; 100m hoặc nằm sát cạnh các ngõ có mặt cắt ngõ Bn ≥ 3m và có chiều sâu ngõ tính từ chỉ giới xây dựng sát mép vỉa hè đường chính đến đầu thửa đất ≥ 200m;</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4: Đất có vị trí còn lại có điều kiện về sản xuất, kinh doanh, sinh hoạt kém thuận lợi.</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b) Đối với thửa đất tiếp giáp với nhiều đường, phố thì mỗi vị trí tính giá đất áp dụng theo đường, phố có mức giá cao hơn; đối với thửa đất nằm sát các ngõ lối thông với nhiều đường, phố có giá đất khác nhau thì áp dụng theo giá đất của đường, phố gần nhất, nếu thửa đất có khoảng cách đến các đường, phố bằng nhau thì áp dụng theo đường, phố có mức giá cao hơn;</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c) Đối với thửa đất có chiều sâu lớn (tính từ mép chỉ giới đất sử dụng hợp pháp) nằm giáp đường, phố do một tổ chức, hộ gia đình, cá nhân sử dụng thì tuỳ theo chiều sâu của từng thửa đất có thể phân thành các vị trí làm căn cứ xác định giá đất cho phù hợp, theo nguyên tắc: Cứ 20 mét chiều sâu của thửa đất được xác định là một vị trí để xác định giá đất và diện tích đất có chiều sâu 20 mét tiếp theo được xác định là vị trí liền kề kế tiếp với vị trí phía ngoài.</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3. Đối với đất thương mại dịch vụ và đất sản xuất kinh doanh phi nông nghiệp không phải là đất thương mại dịch vụ tại nông thôn (ngoài khu công nghiệp, cụm công nghiệp, làng nghề)</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a) Đất ven đô thị, ven đường giao thông chính (quốc lộ, tỉnh lộ, huyện lộ), các đầu mối giao thông, khu thương mại, du lịch và các điểm dân cư:</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1: Đất có vị trí nằm giáp trục đường giao thông chính, khu thương mại, du lịch và điểm dân cư có điều kiện thuận lợi và có giá đất cao nhất;</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2: Đất có vị trí nằm giáp các đường, ngõ lối đi ra đường giao thông chính có mặt cắt ngõ (ký hiệu là Bn) Bn ≥ 3m và có chiều sâu ngõ tính từ chỉ giới xây dựng đến đầu thửa đất (ký hiệu là D) D &lt; 200m;</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3: Đất có vị trí nằm sát các đường, ngõ chính, lối đi ra đường giao thông chính có mặt cắt ngõ Bn ≥ 3m và có chiều sâu ngõ tính từ chỉ giới xây dựng đến đầu thửa đất 200m ≤ D &lt; 400m; nằm sát các ngõ có mặt cắt ngõ 2m ≤ Bn &lt; 3m và có chiều sâu ngõ tính từ chỉ giới xây dựng đường giao thông chính đến đầu thửa đất D &lt; 200m;</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4: Đất các khu vực còn lại;</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Đối với thửa đất có chiều sâu lớn (tính từ mép chỉ giới đất sử dụng hợp pháp) nằm giáp đường, ngõ do một tổ chức, hộ gia đình, cá nhân sử dụng thì tuỳ chiều sâu của từng thửa đất có thể phân thành các vị trí làm căn cứ xác định giá đất cho phù hợp, theo nguyên tắc: Cứ 30 mét chiều sâu của thửa đất được xác định là một vị trí để xác định giá đất và diện tích đất có chiều sâu 30 mét tiếp theo được xác định là vị trí liền kề kế tiếp với vị trí phía ngoài.</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b) Vị trí đất tại các vị trí còn lại ở nông thôn:</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Cách xác định nhóm đất, khu vực đất như xác định đối với đất ở còn lại ở khu vực nông thôn;</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đất:</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1: Đất có vị trí nằm tại trung tâm xã, gần trường học, chợ, trạm y tế, nằm giáp đường giao thông chính hoặc các đầu mối giao thông của xã, có điều kiện thuận lợi và có giá đất cao nhất;</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2: Đất có vị trí nằm tiếp giáp với đường giao thông chính, đường liên xã có điều kiện thuận lợi và có giá đất thấp hơn vị trí 1;</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3: Đất có vị trí nằm tiếp giáp với đường liên thôn, có điều kiện thuận lợi và có giá đất thấp hơn vị trí 2;</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 Vị trí 4: Đất các vị trí còn lại, có giá đất thấp nhất.</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c) Trường hợp vị trí đất vừa xác định được theo khu vực ven đô thị, ven đường giao thông chính (quốc lộ, tỉnh lộ, huyện lộ), các đầu mối giao thông, khu thương mại, du lịch và các điểm dân cư; vừa xác định được vị trí theo khu vực còn lại ở nông thôn thì tính giá đất theo cách xác định vị trí có giá đất cao hơn.</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4. Đối với đất thương mại dịch vụ và đất sản xuất kinh doanh phi nông nghiệp không phải là đất thương mại dịch vụ tại đô thị (ngoài khu công nghiệp, cụm công nghiệp, làng nghề)</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a) Việc phân loại đường, phố và vị trí đất để xác định giá đất thương mại dịch vụ và đất sản xuất kinh doanh phi nông nghiệp không phải là đất thương mại dịch vụ tại đô thị (ngoài khu công nghiệp, cụm công nghiệp, làng nghề) được xác định tương tự như nội dung quy định đối với đất ở tại đô thị;</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b) Đối với thửa đất có chiều sâu lớn (tính từ mép chỉ giới đất sử dụng hợp pháp) nằm giáp đường, ngõ do một tổ chức, hộ gia đình, cá nhân sử dụng thì tùy chiều sâu của từng thửa đất có thể phân thành các vị trí làm căn cứ xác định giá đất cho phù hợp, theo nguyên tắc: Cứ 30 mét chiều sâu của thửa đất được xác định là một vị trí để xác định giá đất và diện tích đất có chiều sâu 30 mét tiếp theo được xác định là vị trí liền kề kế tiếp với vị trí phía ngoài;</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c) Đối với thửa đất tiếp giáp với nhiều đường, phố thì mỗi vị trí tính giá đất áp dụng theo đường, phố có mức giá cao hơn; đối với thửa đất nằm sát các ngõ lối thông với nhiều đường, phố có giá đất khác nhau thì áp dụng theo giá đất của đường, phố gần nhất, nếu thửa đất có khoảng cách đến các đường, phố bằng nhau thì áp dụng theo đường, phố có mức giá cao hơn.</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5. Đối với đất thương mại dịch vụ và đất sản xuất kinh doanh phi nông nghiệp không phải là đất thương mại dịch vụ trong khu công nghiệp, cụm công nghiệp, làng nghề</w:t>
      </w:r>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Đối với trường hợp thửa đất thương mại, dịch vụ và đất sản xuất kinh doanh phi nông nghiệp không phải là đất thương mại dịch vụ nằm trong khu công nghiệp, cụm công nghiệp và làng nghề thì vị trí đất xác định theo Bảng giá đất thương mại, dịch vụ trong khu công nghiệp, cụm công nghiệp, làng nghề quy định tại Phụ lục VI và Bảng giá đất sản xuất kinh doanh phi nông nghiệp không phải là đất thương mại dịch vụ quy định tại Phụ lục VII.</w:t>
      </w:r>
    </w:p>
    <w:p>
      <w:pPr>
        <w:shd w:val="clear" w:color="auto" w:fill="FFFFFF"/>
        <w:spacing w:after="120" w:line="240" w:lineRule="auto"/>
        <w:ind w:firstLine="720"/>
        <w:jc w:val="both"/>
        <w:rPr>
          <w:rFonts w:ascii="Arial" w:hAnsi="Arial" w:eastAsia="Times New Roman" w:cs="Arial"/>
          <w:sz w:val="20"/>
          <w:szCs w:val="20"/>
          <w:lang w:val="vi-VN"/>
        </w:rPr>
      </w:pPr>
      <w:bookmarkStart w:id="15" w:name="dieu_6"/>
      <w:r>
        <w:rPr>
          <w:rFonts w:ascii="Arial" w:hAnsi="Arial" w:eastAsia="Times New Roman" w:cs="Arial"/>
          <w:b/>
          <w:bCs/>
          <w:sz w:val="20"/>
          <w:szCs w:val="20"/>
          <w:lang w:val="vi-VN"/>
        </w:rPr>
        <w:t>Điều 6. Trách nhiệm thi hành</w:t>
      </w:r>
      <w:bookmarkEnd w:id="15"/>
    </w:p>
    <w:p>
      <w:pPr>
        <w:shd w:val="clear" w:color="auto" w:fill="FFFFFF"/>
        <w:spacing w:after="120" w:line="240" w:lineRule="auto"/>
        <w:ind w:firstLine="720"/>
        <w:jc w:val="both"/>
        <w:rPr>
          <w:rFonts w:ascii="Arial" w:hAnsi="Arial" w:eastAsia="Times New Roman" w:cs="Arial"/>
          <w:sz w:val="20"/>
          <w:szCs w:val="20"/>
          <w:lang w:val="vi-VN"/>
        </w:rPr>
      </w:pPr>
      <w:r>
        <w:rPr>
          <w:rFonts w:ascii="Arial" w:hAnsi="Arial" w:eastAsia="Times New Roman" w:cs="Arial"/>
          <w:sz w:val="20"/>
          <w:szCs w:val="20"/>
          <w:lang w:val="vi-VN"/>
        </w:rPr>
        <w:t>1. Sở Tài nguyên và Môi trường:</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a) Chủ trì, phối hợp với các Sở, ngành liên quan và Ủy ban nhân dân các huyện, thị xã, thành phố tổ chức triển khai, hướng dẫn, kiểm </w:t>
      </w:r>
      <w:r>
        <w:rPr>
          <w:rFonts w:ascii="Arial" w:hAnsi="Arial" w:eastAsia="Times New Roman" w:cs="Arial"/>
          <w:sz w:val="20"/>
          <w:szCs w:val="20"/>
        </w:rPr>
        <w:t>tr</w:t>
      </w:r>
      <w:r>
        <w:rPr>
          <w:rFonts w:ascii="Arial" w:hAnsi="Arial" w:eastAsia="Times New Roman" w:cs="Arial"/>
          <w:sz w:val="20"/>
          <w:szCs w:val="20"/>
          <w:lang w:val="vi-VN"/>
        </w:rPr>
        <w:t>a thực hiện Quy định này;</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b) Hướng dẫn tổ chức điều </w:t>
      </w:r>
      <w:r>
        <w:rPr>
          <w:rFonts w:ascii="Arial" w:hAnsi="Arial" w:eastAsia="Times New Roman" w:cs="Arial"/>
          <w:sz w:val="20"/>
          <w:szCs w:val="20"/>
        </w:rPr>
        <w:t>tr</w:t>
      </w:r>
      <w:r>
        <w:rPr>
          <w:rFonts w:ascii="Arial" w:hAnsi="Arial" w:eastAsia="Times New Roman" w:cs="Arial"/>
          <w:sz w:val="20"/>
          <w:szCs w:val="20"/>
          <w:lang w:val="vi-VN"/>
        </w:rPr>
        <w:t>a và thu thập thông tin giá đất; đánh giá tình hình và kết quả điều tra, thu thập thông tin giá đất thị trường của cấp huyện và xây dựng dự thảo bảng giá đất trình cấp có thẩm quy</w:t>
      </w:r>
      <w:r>
        <w:rPr>
          <w:rFonts w:ascii="Arial" w:hAnsi="Arial" w:eastAsia="Times New Roman" w:cs="Arial"/>
          <w:sz w:val="20"/>
          <w:szCs w:val="20"/>
        </w:rPr>
        <w:t>ề</w:t>
      </w:r>
      <w:r>
        <w:rPr>
          <w:rFonts w:ascii="Arial" w:hAnsi="Arial" w:eastAsia="Times New Roman" w:cs="Arial"/>
          <w:sz w:val="20"/>
          <w:szCs w:val="20"/>
          <w:lang w:val="vi-VN"/>
        </w:rPr>
        <w:t>n quy định bảng giá đất định kỳ và điều chỉnh bảng giá đất cho phù hợp với khung giá do Chính phủ ban hành.</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2. Sở Tài chính:</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a) Là cơ quan Thường trực Hội đồng thẩm định bảng giá đất của tỉnh;</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b) Phối hợp với Sở Tài nguyên và Môi trường trong việc điều tra và theo dõi giá đất trên địa bàn tỉnh.</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3. Ủy ban nhân dân các huyện, thị xã, thành phố:</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a) Thường xuyên theo dõi, tổng h</w:t>
      </w:r>
      <w:r>
        <w:rPr>
          <w:rFonts w:ascii="Arial" w:hAnsi="Arial" w:eastAsia="Times New Roman" w:cs="Arial"/>
          <w:sz w:val="20"/>
          <w:szCs w:val="20"/>
        </w:rPr>
        <w:t>ợ</w:t>
      </w:r>
      <w:r>
        <w:rPr>
          <w:rFonts w:ascii="Arial" w:hAnsi="Arial" w:eastAsia="Times New Roman" w:cs="Arial"/>
          <w:sz w:val="20"/>
          <w:szCs w:val="20"/>
          <w:lang w:val="vi-VN"/>
        </w:rPr>
        <w:t>p kết quả điều tra, thu thập thông tin giá đất thị trường trên địa bàn;</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b) Phân nhóm xã, khu vực xã, các khu vực đất ven đường giao thông quốc lộ, tỉnh lộ, huyện lộ, các đ</w:t>
      </w:r>
      <w:r>
        <w:rPr>
          <w:rFonts w:ascii="Arial" w:hAnsi="Arial" w:eastAsia="Times New Roman" w:cs="Arial"/>
          <w:sz w:val="20"/>
          <w:szCs w:val="20"/>
        </w:rPr>
        <w:t>ầ</w:t>
      </w:r>
      <w:r>
        <w:rPr>
          <w:rFonts w:ascii="Arial" w:hAnsi="Arial" w:eastAsia="Times New Roman" w:cs="Arial"/>
          <w:sz w:val="20"/>
          <w:szCs w:val="20"/>
          <w:lang w:val="vi-VN"/>
        </w:rPr>
        <w:t>u mối giao thông, khu vực thương mại, du lịch và các điểm dân cư nông thôn, đi</w:t>
      </w:r>
      <w:r>
        <w:rPr>
          <w:rFonts w:ascii="Arial" w:hAnsi="Arial" w:eastAsia="Times New Roman" w:cs="Arial"/>
          <w:sz w:val="20"/>
          <w:szCs w:val="20"/>
        </w:rPr>
        <w:t>ể</w:t>
      </w:r>
      <w:r>
        <w:rPr>
          <w:rFonts w:ascii="Arial" w:hAnsi="Arial" w:eastAsia="Times New Roman" w:cs="Arial"/>
          <w:sz w:val="20"/>
          <w:szCs w:val="20"/>
          <w:lang w:val="vi-VN"/>
        </w:rPr>
        <w:t>m ti</w:t>
      </w:r>
      <w:r>
        <w:rPr>
          <w:rFonts w:ascii="Arial" w:hAnsi="Arial" w:eastAsia="Times New Roman" w:cs="Arial"/>
          <w:sz w:val="20"/>
          <w:szCs w:val="20"/>
        </w:rPr>
        <w:t>ể</w:t>
      </w:r>
      <w:r>
        <w:rPr>
          <w:rFonts w:ascii="Arial" w:hAnsi="Arial" w:eastAsia="Times New Roman" w:cs="Arial"/>
          <w:sz w:val="20"/>
          <w:szCs w:val="20"/>
          <w:lang w:val="vi-VN"/>
        </w:rPr>
        <w:t>u thủ công nghiệp làng ngh</w:t>
      </w:r>
      <w:r>
        <w:rPr>
          <w:rFonts w:ascii="Arial" w:hAnsi="Arial" w:eastAsia="Times New Roman" w:cs="Arial"/>
          <w:sz w:val="20"/>
          <w:szCs w:val="20"/>
        </w:rPr>
        <w:t>ề</w:t>
      </w:r>
      <w:r>
        <w:rPr>
          <w:rFonts w:ascii="Arial" w:hAnsi="Arial" w:eastAsia="Times New Roman" w:cs="Arial"/>
          <w:sz w:val="20"/>
          <w:szCs w:val="20"/>
          <w:lang w:val="vi-VN"/>
        </w:rPr>
        <w:t>, </w:t>
      </w:r>
      <w:r>
        <w:rPr>
          <w:rFonts w:ascii="Arial" w:hAnsi="Arial" w:eastAsia="Times New Roman" w:cs="Arial"/>
          <w:sz w:val="20"/>
          <w:szCs w:val="20"/>
        </w:rPr>
        <w:t>điể</w:t>
      </w:r>
      <w:r>
        <w:rPr>
          <w:rFonts w:ascii="Arial" w:hAnsi="Arial" w:eastAsia="Times New Roman" w:cs="Arial"/>
          <w:sz w:val="20"/>
          <w:szCs w:val="20"/>
          <w:lang w:val="vi-VN"/>
        </w:rPr>
        <w:t>m kinh doanh thương mại dịch vụ cụ thể thuộc địa bàn các xã làm cơ sở định giá đất trên địa bàn huyện, thị xã, thành phố.</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4. Các cơ quan, tổ chức và cá nhân có liên quan có trách nhiệm tổ chức, thực hiện bảng giá đất theo quy định.</w:t>
      </w:r>
    </w:p>
    <w:p>
      <w:pPr>
        <w:shd w:val="clear" w:color="auto" w:fill="FFFFFF"/>
        <w:spacing w:after="120" w:line="240" w:lineRule="auto"/>
        <w:ind w:firstLine="720"/>
        <w:jc w:val="both"/>
        <w:rPr>
          <w:rFonts w:ascii="Arial" w:hAnsi="Arial" w:eastAsia="Times New Roman" w:cs="Arial"/>
          <w:sz w:val="20"/>
          <w:szCs w:val="20"/>
        </w:rPr>
      </w:pPr>
      <w:r>
        <w:rPr>
          <w:rFonts w:ascii="Arial" w:hAnsi="Arial" w:eastAsia="Times New Roman" w:cs="Arial"/>
          <w:sz w:val="20"/>
          <w:szCs w:val="20"/>
          <w:lang w:val="vi-VN"/>
        </w:rPr>
        <w:t>Trong quá trình thực hiện, nếu có vướng mắc phát sinh, các cơ quan, tổ chức và cá nhân phản ánh kịp thời về Sở Tài nguyên và Môi trường để tổng hợp báo cáo Ủy ban nhân dân tỉnh xem xét, giải quyết.</w:t>
      </w:r>
      <w:r>
        <w:rPr>
          <w:rFonts w:ascii="Arial" w:hAnsi="Arial" w:eastAsia="Times New Roman" w:cs="Arial"/>
          <w:sz w:val="20"/>
          <w:szCs w:val="20"/>
        </w:rPr>
        <w:t>/.</w:t>
      </w:r>
    </w:p>
    <w:tbl>
      <w:tblPr>
        <w:tblStyle w:val="7"/>
        <w:tblW w:w="0" w:type="auto"/>
        <w:jc w:val="center"/>
        <w:tblCellSpacing w:w="0" w:type="dxa"/>
        <w:shd w:val="clear" w:color="auto" w:fill="FFFFFF"/>
        <w:tblLayout w:type="autofit"/>
        <w:tblCellMar>
          <w:top w:w="0" w:type="dxa"/>
          <w:left w:w="0" w:type="dxa"/>
          <w:bottom w:w="0" w:type="dxa"/>
          <w:right w:w="0" w:type="dxa"/>
        </w:tblCellMar>
      </w:tblPr>
      <w:tblGrid>
        <w:gridCol w:w="5697"/>
        <w:gridCol w:w="3717"/>
      </w:tblGrid>
      <w:tr>
        <w:tblPrEx>
          <w:shd w:val="clear" w:color="auto" w:fill="FFFFFF"/>
          <w:tblCellMar>
            <w:top w:w="0" w:type="dxa"/>
            <w:left w:w="0" w:type="dxa"/>
            <w:bottom w:w="0" w:type="dxa"/>
            <w:right w:w="0" w:type="dxa"/>
          </w:tblCellMar>
        </w:tblPrEx>
        <w:trPr>
          <w:wBefore w:w="0" w:type="dxa"/>
          <w:wAfter w:w="0" w:type="dxa"/>
          <w:tblCellSpacing w:w="0" w:type="dxa"/>
          <w:jc w:val="center"/>
        </w:trPr>
        <w:tc>
          <w:tcPr>
            <w:tcW w:w="5697" w:type="dxa"/>
            <w:shd w:val="clear" w:color="auto" w:fill="FFFFFF"/>
            <w:noWrap w:val="0"/>
            <w:tcMar>
              <w:top w:w="0" w:type="dxa"/>
              <w:left w:w="108" w:type="dxa"/>
              <w:bottom w:w="0" w:type="dxa"/>
              <w:right w:w="108" w:type="dxa"/>
            </w:tcMar>
            <w:vAlign w:val="top"/>
          </w:tcPr>
          <w:p>
            <w:pPr>
              <w:spacing w:after="0" w:line="240" w:lineRule="auto"/>
              <w:rPr>
                <w:rFonts w:ascii="Arial" w:hAnsi="Arial" w:eastAsia="Times New Roman" w:cs="Arial"/>
                <w:sz w:val="20"/>
                <w:szCs w:val="20"/>
                <w:lang w:val="vi-VN"/>
              </w:rPr>
            </w:pPr>
          </w:p>
        </w:tc>
        <w:tc>
          <w:tcPr>
            <w:tcW w:w="3717" w:type="dxa"/>
            <w:shd w:val="clear" w:color="auto" w:fill="FFFFFF"/>
            <w:noWrap w:val="0"/>
            <w:tcMar>
              <w:top w:w="0" w:type="dxa"/>
              <w:left w:w="108" w:type="dxa"/>
              <w:bottom w:w="0" w:type="dxa"/>
              <w:right w:w="108" w:type="dxa"/>
            </w:tcMar>
            <w:vAlign w:val="top"/>
          </w:tcPr>
          <w:p>
            <w:pPr>
              <w:spacing w:after="0" w:line="240" w:lineRule="auto"/>
              <w:jc w:val="center"/>
              <w:rPr>
                <w:rFonts w:ascii="Arial" w:hAnsi="Arial" w:eastAsia="Times New Roman" w:cs="Arial"/>
                <w:sz w:val="20"/>
                <w:szCs w:val="20"/>
              </w:rPr>
            </w:pPr>
            <w:r>
              <w:rPr>
                <w:rFonts w:ascii="Arial" w:hAnsi="Arial" w:eastAsia="Times New Roman" w:cs="Arial"/>
                <w:b/>
                <w:bCs/>
                <w:sz w:val="20"/>
                <w:szCs w:val="20"/>
              </w:rPr>
              <w:t>TM. ỦY BAN NHÂN DÂN</w:t>
            </w:r>
            <w:r>
              <w:rPr>
                <w:rFonts w:ascii="Arial" w:hAnsi="Arial" w:eastAsia="Times New Roman" w:cs="Arial"/>
                <w:b/>
                <w:bCs/>
                <w:sz w:val="20"/>
                <w:szCs w:val="20"/>
              </w:rPr>
              <w:br w:type="textWrapping"/>
            </w:r>
            <w:r>
              <w:rPr>
                <w:rFonts w:ascii="Arial" w:hAnsi="Arial" w:eastAsia="Times New Roman" w:cs="Arial"/>
                <w:b/>
                <w:bCs/>
                <w:sz w:val="20"/>
                <w:szCs w:val="20"/>
              </w:rPr>
              <w:t>CHỦ TỊCH</w:t>
            </w:r>
            <w:r>
              <w:rPr>
                <w:rFonts w:ascii="Arial" w:hAnsi="Arial" w:eastAsia="Times New Roman" w:cs="Arial"/>
                <w:b/>
                <w:bCs/>
                <w:sz w:val="20"/>
                <w:szCs w:val="20"/>
              </w:rPr>
              <w:br w:type="textWrapping"/>
            </w:r>
            <w:r>
              <w:rPr>
                <w:rFonts w:ascii="Arial" w:hAnsi="Arial" w:eastAsia="Times New Roman" w:cs="Arial"/>
                <w:b/>
                <w:bCs/>
                <w:sz w:val="20"/>
                <w:szCs w:val="20"/>
              </w:rPr>
              <w:br w:type="textWrapping"/>
            </w:r>
            <w:r>
              <w:rPr>
                <w:rFonts w:ascii="Arial" w:hAnsi="Arial" w:eastAsia="Times New Roman" w:cs="Arial"/>
                <w:b/>
                <w:bCs/>
                <w:sz w:val="20"/>
                <w:szCs w:val="20"/>
              </w:rPr>
              <w:br w:type="textWrapping"/>
            </w:r>
            <w:r>
              <w:rPr>
                <w:rFonts w:ascii="Arial" w:hAnsi="Arial" w:eastAsia="Times New Roman" w:cs="Arial"/>
                <w:b/>
                <w:bCs/>
                <w:sz w:val="20"/>
                <w:szCs w:val="20"/>
              </w:rPr>
              <w:br w:type="textWrapping"/>
            </w:r>
            <w:r>
              <w:rPr>
                <w:rFonts w:ascii="Arial" w:hAnsi="Arial" w:eastAsia="Times New Roman" w:cs="Arial"/>
                <w:b/>
                <w:bCs/>
                <w:sz w:val="20"/>
                <w:szCs w:val="20"/>
              </w:rPr>
              <w:br w:type="textWrapping"/>
            </w:r>
            <w:r>
              <w:rPr>
                <w:rFonts w:ascii="Arial" w:hAnsi="Arial" w:eastAsia="Times New Roman" w:cs="Arial"/>
                <w:b/>
                <w:bCs/>
                <w:sz w:val="20"/>
                <w:szCs w:val="20"/>
              </w:rPr>
              <w:t>Nguyễn Dương Thái</w:t>
            </w:r>
          </w:p>
        </w:tc>
      </w:tr>
    </w:tbl>
    <w:p>
      <w:pPr>
        <w:spacing w:after="0" w:line="240" w:lineRule="auto"/>
        <w:rPr>
          <w:rFonts w:ascii="Arial" w:hAnsi="Arial" w:cs="Arial"/>
          <w:sz w:val="20"/>
          <w:szCs w:val="20"/>
        </w:rPr>
      </w:pPr>
    </w:p>
    <w:sectPr>
      <w:pgSz w:w="12240" w:h="15840"/>
      <w:pgMar w:top="1440" w:right="1440" w:bottom="1440" w:left="1440" w:header="720" w:footer="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D5B4CBA-ACB9-47CF-B64C-3646A5EA6F20}"/>
  </w:font>
  <w:font w:name="Arial">
    <w:panose1 w:val="020B0604020202020204"/>
    <w:charset w:val="00"/>
    <w:family w:val="swiss"/>
    <w:pitch w:val="default"/>
    <w:sig w:usb0="E0002EFF" w:usb1="C000785B" w:usb2="00000009" w:usb3="00000000" w:csb0="400001FF" w:csb1="FFFF0000"/>
    <w:embedRegular r:id="rId2" w:fontKey="{82CCECC1-EFFD-4E65-9BA0-3B9F1E5E3E16}"/>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embedRegular r:id="rId3" w:fontKey="{E383DF0F-9049-44BB-AD19-B8CA3D3DD8CA}"/>
  </w:font>
  <w:font w:name="Calibri">
    <w:panose1 w:val="020F0502020204030204"/>
    <w:charset w:val="00"/>
    <w:family w:val="swiss"/>
    <w:pitch w:val="default"/>
    <w:sig w:usb0="E4002EFF" w:usb1="C000247B" w:usb2="00000009" w:usb3="00000000" w:csb0="200001FF" w:csb1="00000000"/>
    <w:embedRegular r:id="rId4" w:fontKey="{825B18D7-0823-4626-AA84-25BAEF027C5E}"/>
  </w:font>
  <w:font w:name="DengXian">
    <w:panose1 w:val="02010600030101010101"/>
    <w:charset w:val="86"/>
    <w:family w:val="modern"/>
    <w:pitch w:val="default"/>
    <w:sig w:usb0="A00002BF" w:usb1="38CF7CFA" w:usb2="00000016" w:usb3="00000000" w:csb0="0004000F" w:csb1="00000000"/>
    <w:embedRegular r:id="rId5" w:fontKey="{42839B28-47AC-4733-A96F-083D4A32948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720"/>
  <w:hyphenationZone w:val="360"/>
  <w:displayHorizontalDrawingGridEvery w:val="1"/>
  <w:displayVerticalDrawingGridEvery w:val="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0B1"/>
    <w:rsid w:val="00063614"/>
    <w:rsid w:val="000F33B6"/>
    <w:rsid w:val="000F66DA"/>
    <w:rsid w:val="00117617"/>
    <w:rsid w:val="0012171A"/>
    <w:rsid w:val="002B4273"/>
    <w:rsid w:val="003404E5"/>
    <w:rsid w:val="00441777"/>
    <w:rsid w:val="004C2343"/>
    <w:rsid w:val="005B3368"/>
    <w:rsid w:val="005C11A4"/>
    <w:rsid w:val="00681AA1"/>
    <w:rsid w:val="007006A9"/>
    <w:rsid w:val="00715B96"/>
    <w:rsid w:val="00832096"/>
    <w:rsid w:val="00833DC1"/>
    <w:rsid w:val="00861AFE"/>
    <w:rsid w:val="00923B27"/>
    <w:rsid w:val="00A66010"/>
    <w:rsid w:val="00A66C30"/>
    <w:rsid w:val="00B42225"/>
    <w:rsid w:val="00BA160C"/>
    <w:rsid w:val="00BB3846"/>
    <w:rsid w:val="00C26BF6"/>
    <w:rsid w:val="00C527E6"/>
    <w:rsid w:val="00CC24DD"/>
    <w:rsid w:val="00CE60B1"/>
    <w:rsid w:val="00D128DA"/>
    <w:rsid w:val="00D76A6F"/>
    <w:rsid w:val="00E01C8B"/>
    <w:rsid w:val="00E23A2A"/>
    <w:rsid w:val="00E82834"/>
    <w:rsid w:val="588C33B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DengXi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qFormat/>
    <w:uiPriority w:val="0"/>
    <w:pPr>
      <w:spacing w:after="160" w:line="259" w:lineRule="auto"/>
    </w:pPr>
    <w:rPr>
      <w:sz w:val="24"/>
      <w:szCs w:val="22"/>
      <w:lang w:val="en-US" w:eastAsia="zh-CN" w:bidi="ar-SA"/>
    </w:rPr>
  </w:style>
  <w:style w:type="character" w:default="1" w:styleId="5">
    <w:name w:val="Default Paragraph Font"/>
    <w:semiHidden/>
    <w:unhideWhenUsed/>
    <w:uiPriority w:val="1"/>
  </w:style>
  <w:style w:type="table" w:default="1" w:styleId="7">
    <w:name w:val="Normal Table"/>
    <w:semiHidden/>
    <w:unhideWhenUsed/>
    <w:uiPriority w:val="99"/>
    <w:tblPr>
      <w:tblStyle w:val="7"/>
      <w:tblCellMar>
        <w:top w:w="0" w:type="dxa"/>
        <w:left w:w="108" w:type="dxa"/>
        <w:bottom w:w="0" w:type="dxa"/>
        <w:right w:w="108" w:type="dxa"/>
      </w:tblCellMar>
    </w:tblPr>
    <w:trPr>
      <w:wBefore w:w="0" w:type="dxa"/>
    </w:trPr>
  </w:style>
  <w:style w:type="paragraph" w:styleId="2">
    <w:name w:val="footer"/>
    <w:basedOn w:val="1"/>
    <w:link w:val="9"/>
    <w:unhideWhenUsed/>
    <w:uiPriority w:val="99"/>
    <w:pPr>
      <w:tabs>
        <w:tab w:val="center" w:pos="4680"/>
        <w:tab w:val="right" w:pos="9360"/>
      </w:tabs>
    </w:pPr>
  </w:style>
  <w:style w:type="paragraph" w:styleId="3">
    <w:name w:val="header"/>
    <w:basedOn w:val="1"/>
    <w:link w:val="8"/>
    <w:unhideWhenUsed/>
    <w:uiPriority w:val="99"/>
    <w:pPr>
      <w:tabs>
        <w:tab w:val="center" w:pos="4680"/>
        <w:tab w:val="right" w:pos="9360"/>
      </w:tabs>
    </w:pPr>
  </w:style>
  <w:style w:type="paragraph" w:styleId="4">
    <w:name w:val="Normal (Web)"/>
    <w:basedOn w:val="1"/>
    <w:semiHidden/>
    <w:unhideWhenUsed/>
    <w:uiPriority w:val="99"/>
    <w:pPr>
      <w:spacing w:before="100" w:beforeAutospacing="1" w:after="100" w:afterAutospacing="1" w:line="240" w:lineRule="auto"/>
    </w:pPr>
    <w:rPr>
      <w:rFonts w:eastAsia="Times New Roman"/>
      <w:szCs w:val="24"/>
    </w:rPr>
  </w:style>
  <w:style w:type="character" w:styleId="6">
    <w:name w:val="Hyperlink"/>
    <w:semiHidden/>
    <w:unhideWhenUsed/>
    <w:uiPriority w:val="99"/>
    <w:rPr>
      <w:color w:val="0000FF"/>
      <w:u w:val="single"/>
    </w:rPr>
  </w:style>
  <w:style w:type="character" w:customStyle="1" w:styleId="8">
    <w:name w:val="Header Char"/>
    <w:link w:val="3"/>
    <w:uiPriority w:val="99"/>
    <w:rPr>
      <w:sz w:val="24"/>
      <w:szCs w:val="22"/>
      <w:lang w:eastAsia="zh-CN"/>
    </w:rPr>
  </w:style>
  <w:style w:type="character" w:customStyle="1" w:styleId="9">
    <w:name w:val="Footer Char"/>
    <w:link w:val="2"/>
    <w:uiPriority w:val="99"/>
    <w:rPr>
      <w:sz w:val="24"/>
      <w:szCs w:val="22"/>
      <w:lang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2919</Words>
  <Characters>16640</Characters>
  <Lines>138</Lines>
  <Paragraphs>39</Paragraphs>
  <TotalTime>0</TotalTime>
  <ScaleCrop>false</ScaleCrop>
  <LinksUpToDate>false</LinksUpToDate>
  <CharactersWithSpaces>19520</CharactersWithSpaces>
  <Application>WPS Office_11.2.0.9718_F1E327BC-269C-435d-A152-05C5408002CA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2020-02-28T10:19:00Z</dcterms:created>
  <dc:creator>Hang Nga Nguyen</dc:creator>
  <cp:lastModifiedBy>idollawkun</cp:lastModifiedBy>
  <dcterms:modified xsi:type="dcterms:W3CDTF">2020-10-26T08:18:43Z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1033-11.2.0.9718</vt:lpwstr>
  </property>
</Properties>
</file>